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29B" w:rsidRDefault="00A9329B" w:rsidP="00A9329B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  <w:lang w:eastAsia="es-ES"/>
        </w:rPr>
      </w:pPr>
    </w:p>
    <w:p w:rsidR="00EF49C9" w:rsidRDefault="00DF72AA" w:rsidP="00DF72A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  <w:lang w:eastAsia="es-ES"/>
        </w:rPr>
      </w:pPr>
      <w:r>
        <w:rPr>
          <w:rFonts w:ascii="Arial Narrow" w:hAnsi="Arial Narrow" w:cs="Arial"/>
          <w:b/>
          <w:bCs/>
          <w:sz w:val="24"/>
          <w:szCs w:val="24"/>
          <w:lang w:eastAsia="es-ES"/>
        </w:rPr>
        <w:t>NOTA INFORMATIVA NI GA</w:t>
      </w:r>
      <w:r w:rsidR="00A9329B"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 </w:t>
      </w:r>
      <w:r w:rsidR="0020758E">
        <w:rPr>
          <w:rFonts w:ascii="Arial Narrow" w:hAnsi="Arial Narrow" w:cs="Arial"/>
          <w:b/>
          <w:bCs/>
          <w:sz w:val="24"/>
          <w:szCs w:val="24"/>
          <w:lang w:eastAsia="es-ES"/>
        </w:rPr>
        <w:t>02</w:t>
      </w:r>
      <w:r w:rsidR="00DC2BA4">
        <w:rPr>
          <w:rFonts w:ascii="Arial Narrow" w:hAnsi="Arial Narrow" w:cs="Arial"/>
          <w:b/>
          <w:bCs/>
          <w:sz w:val="24"/>
          <w:szCs w:val="24"/>
          <w:lang w:eastAsia="es-ES"/>
        </w:rPr>
        <w:t>/</w:t>
      </w:r>
      <w:r w:rsidR="00E44EF4">
        <w:rPr>
          <w:rFonts w:ascii="Arial Narrow" w:hAnsi="Arial Narrow" w:cs="Arial"/>
          <w:b/>
          <w:bCs/>
          <w:sz w:val="24"/>
          <w:szCs w:val="24"/>
          <w:lang w:eastAsia="es-ES"/>
        </w:rPr>
        <w:t>2013</w:t>
      </w:r>
      <w:r w:rsidR="00A9329B"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, </w:t>
      </w:r>
      <w:r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de </w:t>
      </w:r>
      <w:r w:rsidR="0020758E">
        <w:rPr>
          <w:rFonts w:ascii="Arial Narrow" w:hAnsi="Arial Narrow" w:cs="Arial"/>
          <w:b/>
          <w:bCs/>
          <w:sz w:val="24"/>
          <w:szCs w:val="24"/>
          <w:lang w:eastAsia="es-ES"/>
        </w:rPr>
        <w:t>18</w:t>
      </w:r>
      <w:r w:rsidR="00A9329B"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 </w:t>
      </w:r>
      <w:r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de </w:t>
      </w:r>
      <w:r w:rsidR="00E44EF4">
        <w:rPr>
          <w:rFonts w:ascii="Arial Narrow" w:hAnsi="Arial Narrow" w:cs="Arial"/>
          <w:b/>
          <w:bCs/>
          <w:sz w:val="24"/>
          <w:szCs w:val="24"/>
          <w:lang w:eastAsia="es-ES"/>
        </w:rPr>
        <w:t>febrero</w:t>
      </w:r>
      <w:r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, relativa </w:t>
      </w:r>
      <w:r w:rsidR="00E44EF4">
        <w:rPr>
          <w:rFonts w:ascii="Arial Narrow" w:hAnsi="Arial Narrow" w:cs="Arial"/>
          <w:b/>
          <w:bCs/>
          <w:sz w:val="24"/>
          <w:szCs w:val="24"/>
          <w:lang w:eastAsia="es-ES"/>
        </w:rPr>
        <w:t>al Acuerdo UE/CENTROAMÉRICA</w:t>
      </w:r>
    </w:p>
    <w:p w:rsidR="0078527B" w:rsidRPr="00E42E1C" w:rsidRDefault="0078527B" w:rsidP="00A9329B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  <w:lang w:eastAsia="es-ES"/>
        </w:rPr>
      </w:pPr>
    </w:p>
    <w:p w:rsidR="00366E2D" w:rsidRDefault="00366E2D" w:rsidP="00A9329B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  <w:lang w:eastAsia="es-ES"/>
        </w:rPr>
      </w:pPr>
    </w:p>
    <w:p w:rsidR="00366E2D" w:rsidRDefault="00366E2D" w:rsidP="00C618D5">
      <w:pPr>
        <w:autoSpaceDE w:val="0"/>
        <w:autoSpaceDN w:val="0"/>
        <w:adjustRightInd w:val="0"/>
        <w:spacing w:after="60"/>
        <w:jc w:val="both"/>
        <w:outlineLvl w:val="0"/>
        <w:rPr>
          <w:rFonts w:ascii="Arial Narrow" w:hAnsi="Arial Narrow" w:cs="Arial"/>
          <w:bCs/>
          <w:sz w:val="24"/>
          <w:szCs w:val="24"/>
          <w:lang w:eastAsia="es-ES"/>
        </w:rPr>
      </w:pPr>
      <w:r>
        <w:rPr>
          <w:rFonts w:ascii="Arial Narrow" w:hAnsi="Arial Narrow" w:cs="Arial"/>
          <w:bCs/>
          <w:sz w:val="24"/>
          <w:szCs w:val="24"/>
          <w:lang w:eastAsia="es-ES"/>
        </w:rPr>
        <w:t>TEXTO DISPOSITIVO</w:t>
      </w:r>
    </w:p>
    <w:p w:rsidR="00366E2D" w:rsidRDefault="00366E2D" w:rsidP="00A9329B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  <w:lang w:eastAsia="es-ES"/>
        </w:rPr>
      </w:pPr>
    </w:p>
    <w:p w:rsidR="00284BE4" w:rsidRDefault="001C61B5" w:rsidP="00DC2BA4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Se comunica que en el </w:t>
      </w:r>
      <w:hyperlink r:id="rId8" w:history="1">
        <w:r w:rsidRPr="00C618D5">
          <w:rPr>
            <w:rStyle w:val="Hipervnculo"/>
            <w:rFonts w:ascii="Arial Narrow" w:hAnsi="Arial Narrow" w:cs="Arial"/>
            <w:b/>
            <w:bCs/>
            <w:sz w:val="24"/>
            <w:szCs w:val="24"/>
          </w:rPr>
          <w:t>DOUE L-Nº346</w:t>
        </w:r>
      </w:hyperlink>
      <w:r>
        <w:rPr>
          <w:rFonts w:ascii="Arial Narrow" w:hAnsi="Arial Narrow" w:cs="Arial"/>
          <w:bCs/>
          <w:sz w:val="24"/>
          <w:szCs w:val="24"/>
        </w:rPr>
        <w:t xml:space="preserve"> de </w:t>
      </w:r>
      <w:r w:rsidRPr="00DB1DA5">
        <w:rPr>
          <w:rFonts w:ascii="Arial Narrow" w:hAnsi="Arial Narrow" w:cs="Arial"/>
          <w:b/>
          <w:bCs/>
          <w:sz w:val="24"/>
          <w:szCs w:val="24"/>
        </w:rPr>
        <w:t>15-12-2012</w:t>
      </w:r>
      <w:r>
        <w:rPr>
          <w:rFonts w:ascii="Arial Narrow" w:hAnsi="Arial Narrow" w:cs="Arial"/>
          <w:bCs/>
          <w:sz w:val="24"/>
          <w:szCs w:val="24"/>
        </w:rPr>
        <w:t xml:space="preserve"> se ha publicado la Decisión del Consejo (2012/734/UE) relativa a la firma, en nombre de la Unión Europea </w:t>
      </w:r>
      <w:r w:rsidR="00CB4FEF" w:rsidRPr="00E02D1C">
        <w:rPr>
          <w:rStyle w:val="Textoennegrita"/>
          <w:rFonts w:ascii="Arial Narrow" w:hAnsi="Arial Narrow" w:cs="Tahoma"/>
          <w:b w:val="0"/>
          <w:sz w:val="24"/>
          <w:szCs w:val="24"/>
        </w:rPr>
        <w:t>del Acuerdo por el que se establece una Asociación entre la Unión Europea y sus Estados miembros, por un lado, y Centroamérica, por otro, y a la aplicación provisional</w:t>
      </w:r>
      <w:r w:rsidR="00CB4FEF" w:rsidRPr="00E02D1C">
        <w:rPr>
          <w:rFonts w:ascii="Arial Narrow" w:hAnsi="Arial Narrow" w:cs="Arial"/>
          <w:b/>
          <w:bCs/>
          <w:sz w:val="24"/>
          <w:szCs w:val="24"/>
        </w:rPr>
        <w:t xml:space="preserve"> </w:t>
      </w:r>
      <w:r>
        <w:rPr>
          <w:rFonts w:ascii="Arial Narrow" w:hAnsi="Arial Narrow" w:cs="Arial"/>
          <w:bCs/>
          <w:sz w:val="24"/>
          <w:szCs w:val="24"/>
        </w:rPr>
        <w:t xml:space="preserve">de su parte IV relativa al comercio. </w:t>
      </w:r>
      <w:hyperlink r:id="rId9" w:history="1">
        <w:r w:rsidRPr="00C618D5">
          <w:rPr>
            <w:rStyle w:val="Hipervnculo"/>
            <w:rFonts w:ascii="Arial Narrow" w:hAnsi="Arial Narrow" w:cs="Arial"/>
            <w:bCs/>
            <w:sz w:val="24"/>
            <w:szCs w:val="24"/>
          </w:rPr>
          <w:t>El texto del Acuerdo</w:t>
        </w:r>
      </w:hyperlink>
      <w:r>
        <w:rPr>
          <w:rFonts w:ascii="Arial Narrow" w:hAnsi="Arial Narrow" w:cs="Arial"/>
          <w:bCs/>
          <w:sz w:val="24"/>
          <w:szCs w:val="24"/>
        </w:rPr>
        <w:t xml:space="preserve"> se adjunta a la Decisión mencionada.</w:t>
      </w:r>
    </w:p>
    <w:p w:rsidR="001C61B5" w:rsidRDefault="001C61B5" w:rsidP="00DC2BA4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La Secretaría General del Consejo se encargará de </w:t>
      </w:r>
      <w:r w:rsidRPr="00DB1DA5">
        <w:rPr>
          <w:rFonts w:ascii="Arial Narrow" w:hAnsi="Arial Narrow" w:cs="Arial"/>
          <w:b/>
          <w:bCs/>
          <w:sz w:val="24"/>
          <w:szCs w:val="24"/>
        </w:rPr>
        <w:t>publicar en el Diario Oficial</w:t>
      </w:r>
      <w:r>
        <w:rPr>
          <w:rFonts w:ascii="Arial Narrow" w:hAnsi="Arial Narrow" w:cs="Arial"/>
          <w:bCs/>
          <w:sz w:val="24"/>
          <w:szCs w:val="24"/>
        </w:rPr>
        <w:t xml:space="preserve"> de la Unión Europea la </w:t>
      </w:r>
      <w:r w:rsidRPr="00DB1DA5">
        <w:rPr>
          <w:rFonts w:ascii="Arial Narrow" w:hAnsi="Arial Narrow" w:cs="Arial"/>
          <w:b/>
          <w:bCs/>
          <w:sz w:val="24"/>
          <w:szCs w:val="24"/>
        </w:rPr>
        <w:t>fecha a partir de la cual</w:t>
      </w:r>
      <w:r w:rsidR="00946E54">
        <w:rPr>
          <w:rFonts w:ascii="Arial Narrow" w:hAnsi="Arial Narrow" w:cs="Arial"/>
          <w:bCs/>
          <w:sz w:val="24"/>
          <w:szCs w:val="24"/>
        </w:rPr>
        <w:t xml:space="preserve"> la parte IV d</w:t>
      </w:r>
      <w:r>
        <w:rPr>
          <w:rFonts w:ascii="Arial Narrow" w:hAnsi="Arial Narrow" w:cs="Arial"/>
          <w:bCs/>
          <w:sz w:val="24"/>
          <w:szCs w:val="24"/>
        </w:rPr>
        <w:t xml:space="preserve">el </w:t>
      </w:r>
      <w:r w:rsidRPr="00DB1DA5">
        <w:rPr>
          <w:rFonts w:ascii="Arial Narrow" w:hAnsi="Arial Narrow" w:cs="Arial"/>
          <w:b/>
          <w:bCs/>
          <w:sz w:val="24"/>
          <w:szCs w:val="24"/>
        </w:rPr>
        <w:t xml:space="preserve">Acuerdo relativo al comercio se aplicará </w:t>
      </w:r>
      <w:r w:rsidRPr="0073317B">
        <w:rPr>
          <w:rFonts w:ascii="Arial Narrow" w:hAnsi="Arial Narrow" w:cs="Arial"/>
          <w:bCs/>
          <w:sz w:val="24"/>
          <w:szCs w:val="24"/>
        </w:rPr>
        <w:t>de</w:t>
      </w:r>
      <w:r w:rsidRPr="00DB1DA5">
        <w:rPr>
          <w:rFonts w:ascii="Arial Narrow" w:hAnsi="Arial Narrow" w:cs="Arial"/>
          <w:b/>
          <w:bCs/>
          <w:sz w:val="24"/>
          <w:szCs w:val="24"/>
        </w:rPr>
        <w:t xml:space="preserve"> forma provisional</w:t>
      </w:r>
      <w:r>
        <w:rPr>
          <w:rFonts w:ascii="Arial Narrow" w:hAnsi="Arial Narrow" w:cs="Arial"/>
          <w:bCs/>
          <w:sz w:val="24"/>
          <w:szCs w:val="24"/>
        </w:rPr>
        <w:t>.</w:t>
      </w:r>
    </w:p>
    <w:p w:rsidR="001C61B5" w:rsidRDefault="001C61B5" w:rsidP="00DC2BA4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Los </w:t>
      </w:r>
      <w:r w:rsidRPr="00DB1DA5">
        <w:rPr>
          <w:rFonts w:ascii="Arial Narrow" w:hAnsi="Arial Narrow" w:cs="Arial"/>
          <w:b/>
          <w:bCs/>
          <w:sz w:val="24"/>
          <w:szCs w:val="24"/>
        </w:rPr>
        <w:t>países integrantes</w:t>
      </w:r>
      <w:r>
        <w:rPr>
          <w:rFonts w:ascii="Arial Narrow" w:hAnsi="Arial Narrow" w:cs="Arial"/>
          <w:bCs/>
          <w:sz w:val="24"/>
          <w:szCs w:val="24"/>
        </w:rPr>
        <w:t xml:space="preserve"> de la Parte contratante de este Acuerdo de </w:t>
      </w:r>
      <w:r w:rsidRPr="00DB1DA5">
        <w:rPr>
          <w:rFonts w:ascii="Arial Narrow" w:hAnsi="Arial Narrow" w:cs="Arial"/>
          <w:b/>
          <w:bCs/>
          <w:sz w:val="24"/>
          <w:szCs w:val="24"/>
        </w:rPr>
        <w:t>Centroamérica</w:t>
      </w:r>
      <w:r>
        <w:rPr>
          <w:rFonts w:ascii="Arial Narrow" w:hAnsi="Arial Narrow" w:cs="Arial"/>
          <w:bCs/>
          <w:sz w:val="24"/>
          <w:szCs w:val="24"/>
        </w:rPr>
        <w:t xml:space="preserve"> son: la República de Costa Rica, la República de El Salvador, la República de Guatemala, la República de Honduras, la República de Nicaragua y la República de Panamá.</w:t>
      </w:r>
    </w:p>
    <w:p w:rsidR="00946E54" w:rsidRDefault="00946E54" w:rsidP="00946E54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Las principales características de este Acuerdo desde el punto de vista de origen cuyas normas se encuentran recogidas en el Anexo II relativo a la definición del concepto de “productos originarios” y a métodos de cooperación administrativa son:</w:t>
      </w:r>
    </w:p>
    <w:p w:rsidR="006F4375" w:rsidRDefault="006F4375" w:rsidP="00946E54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</w:p>
    <w:p w:rsidR="00946E54" w:rsidRPr="00946E54" w:rsidRDefault="00946E54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946E54">
        <w:rPr>
          <w:rFonts w:ascii="Arial Narrow" w:hAnsi="Arial Narrow" w:cs="Arial"/>
          <w:b/>
          <w:bCs/>
          <w:sz w:val="24"/>
          <w:szCs w:val="24"/>
        </w:rPr>
        <w:t>Acumulación de origen</w:t>
      </w:r>
      <w:r>
        <w:rPr>
          <w:rFonts w:ascii="Arial Narrow" w:hAnsi="Arial Narrow" w:cs="Arial"/>
          <w:bCs/>
          <w:sz w:val="24"/>
          <w:szCs w:val="24"/>
        </w:rPr>
        <w:t xml:space="preserve"> (Art.3)</w:t>
      </w:r>
    </w:p>
    <w:p w:rsidR="00946E54" w:rsidRDefault="00946E54" w:rsidP="00946E54">
      <w:pPr>
        <w:numPr>
          <w:ilvl w:val="0"/>
          <w:numId w:val="5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Acumulación Bilateral UE-Centroamérica</w:t>
      </w:r>
    </w:p>
    <w:p w:rsidR="00946E54" w:rsidRDefault="00946E54" w:rsidP="00946E54">
      <w:pPr>
        <w:numPr>
          <w:ilvl w:val="0"/>
          <w:numId w:val="5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Acumulación en Centroamérica con: Bolivia, Colombia, Ecuador, Perú y Venezuela.</w:t>
      </w:r>
    </w:p>
    <w:p w:rsidR="00946E54" w:rsidRDefault="00946E54" w:rsidP="00946E54">
      <w:pPr>
        <w:numPr>
          <w:ilvl w:val="0"/>
          <w:numId w:val="5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Acumulación, previa petición de una de las Partes contratantes, con Méjico, Sudamérica y los países del Caribe.</w:t>
      </w:r>
    </w:p>
    <w:p w:rsidR="006F4375" w:rsidRDefault="006F4375" w:rsidP="00A053D8">
      <w:pPr>
        <w:autoSpaceDE w:val="0"/>
        <w:autoSpaceDN w:val="0"/>
        <w:adjustRightInd w:val="0"/>
        <w:spacing w:after="60"/>
        <w:ind w:left="1428"/>
        <w:jc w:val="both"/>
        <w:rPr>
          <w:rFonts w:ascii="Arial Narrow" w:hAnsi="Arial Narrow" w:cs="Arial"/>
          <w:bCs/>
          <w:sz w:val="24"/>
          <w:szCs w:val="24"/>
        </w:rPr>
      </w:pPr>
    </w:p>
    <w:p w:rsidR="000B4A9B" w:rsidRDefault="000B4A9B" w:rsidP="000B4A9B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0B4A9B">
        <w:rPr>
          <w:rFonts w:ascii="Arial Narrow" w:hAnsi="Arial Narrow" w:cs="Arial"/>
          <w:b/>
          <w:bCs/>
          <w:sz w:val="24"/>
          <w:szCs w:val="24"/>
        </w:rPr>
        <w:t>Productos enteramente obtenidos</w:t>
      </w:r>
      <w:r>
        <w:rPr>
          <w:rFonts w:ascii="Arial Narrow" w:hAnsi="Arial Narrow" w:cs="Arial"/>
          <w:b/>
          <w:bCs/>
          <w:sz w:val="24"/>
          <w:szCs w:val="24"/>
        </w:rPr>
        <w:t xml:space="preserve"> (Art 4)</w:t>
      </w:r>
    </w:p>
    <w:p w:rsidR="000B4A9B" w:rsidRPr="000B4A9B" w:rsidRDefault="000B4A9B" w:rsidP="000B4A9B">
      <w:pPr>
        <w:ind w:left="72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Se llama la atención sobre el tenor de l</w:t>
      </w:r>
      <w:r w:rsidRPr="000B4A9B">
        <w:rPr>
          <w:rFonts w:ascii="Arial Narrow" w:hAnsi="Arial Narrow"/>
          <w:sz w:val="24"/>
          <w:szCs w:val="24"/>
        </w:rPr>
        <w:t>a nota 8 de</w:t>
      </w:r>
      <w:r w:rsidR="006F4375">
        <w:rPr>
          <w:rFonts w:ascii="Arial Narrow" w:hAnsi="Arial Narrow"/>
          <w:sz w:val="24"/>
          <w:szCs w:val="24"/>
        </w:rPr>
        <w:t>l Apéndice 1</w:t>
      </w:r>
      <w:r>
        <w:rPr>
          <w:rFonts w:ascii="Arial Narrow" w:hAnsi="Arial Narrow"/>
          <w:sz w:val="24"/>
          <w:szCs w:val="24"/>
        </w:rPr>
        <w:t xml:space="preserve"> este </w:t>
      </w:r>
      <w:r w:rsidRPr="000B4A9B">
        <w:rPr>
          <w:rFonts w:ascii="Arial Narrow" w:hAnsi="Arial Narrow"/>
          <w:sz w:val="24"/>
          <w:szCs w:val="24"/>
        </w:rPr>
        <w:t xml:space="preserve">Anexo II </w:t>
      </w:r>
      <w:r>
        <w:rPr>
          <w:rFonts w:ascii="Arial Narrow" w:hAnsi="Arial Narrow"/>
          <w:sz w:val="24"/>
          <w:szCs w:val="24"/>
        </w:rPr>
        <w:t xml:space="preserve">que establece que </w:t>
      </w:r>
      <w:r w:rsidRPr="000B4A9B">
        <w:rPr>
          <w:rFonts w:ascii="Arial Narrow" w:hAnsi="Arial Narrow"/>
          <w:sz w:val="24"/>
          <w:szCs w:val="24"/>
        </w:rPr>
        <w:t xml:space="preserve">tendrán la consideración de “productos enteramente obtenidos” las mercancías agrícolas y hortofrutícolas </w:t>
      </w:r>
      <w:r w:rsidRPr="00A955C4">
        <w:rPr>
          <w:rFonts w:ascii="Arial Narrow" w:hAnsi="Arial Narrow"/>
          <w:b/>
          <w:sz w:val="24"/>
          <w:szCs w:val="24"/>
        </w:rPr>
        <w:t>aun cuando</w:t>
      </w:r>
      <w:r w:rsidRPr="000B4A9B">
        <w:rPr>
          <w:rFonts w:ascii="Arial Narrow" w:hAnsi="Arial Narrow"/>
          <w:sz w:val="24"/>
          <w:szCs w:val="24"/>
        </w:rPr>
        <w:t xml:space="preserve"> se obtengan a partir de semillas, bulbos</w:t>
      </w:r>
      <w:r w:rsidR="006F4375">
        <w:rPr>
          <w:rFonts w:ascii="Arial Narrow" w:hAnsi="Arial Narrow"/>
          <w:sz w:val="24"/>
          <w:szCs w:val="24"/>
        </w:rPr>
        <w:t>, tubérculos</w:t>
      </w:r>
      <w:r w:rsidR="00C108A6">
        <w:rPr>
          <w:rFonts w:ascii="Arial Narrow" w:hAnsi="Arial Narrow"/>
          <w:sz w:val="24"/>
          <w:szCs w:val="24"/>
        </w:rPr>
        <w:t xml:space="preserve"> (</w:t>
      </w:r>
      <w:r w:rsidRPr="000B4A9B">
        <w:rPr>
          <w:rFonts w:ascii="Arial Narrow" w:hAnsi="Arial Narrow"/>
          <w:sz w:val="24"/>
          <w:szCs w:val="24"/>
        </w:rPr>
        <w:t>...</w:t>
      </w:r>
      <w:r w:rsidR="00C108A6">
        <w:rPr>
          <w:rFonts w:ascii="Arial Narrow" w:hAnsi="Arial Narrow"/>
          <w:sz w:val="24"/>
          <w:szCs w:val="24"/>
        </w:rPr>
        <w:t>.)</w:t>
      </w:r>
      <w:r w:rsidR="006F4375">
        <w:rPr>
          <w:rFonts w:ascii="Arial Narrow" w:hAnsi="Arial Narrow"/>
          <w:sz w:val="24"/>
          <w:szCs w:val="24"/>
        </w:rPr>
        <w:t xml:space="preserve"> u otras partes vivas de plantas importadas de un país </w:t>
      </w:r>
      <w:r w:rsidRPr="000B4A9B">
        <w:rPr>
          <w:rFonts w:ascii="Arial Narrow" w:hAnsi="Arial Narrow"/>
          <w:sz w:val="24"/>
          <w:szCs w:val="24"/>
        </w:rPr>
        <w:t>no Parte.</w:t>
      </w:r>
    </w:p>
    <w:p w:rsidR="000B4A9B" w:rsidRPr="000B4A9B" w:rsidRDefault="000B4A9B" w:rsidP="000B4A9B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/>
          <w:bCs/>
          <w:sz w:val="24"/>
          <w:szCs w:val="24"/>
        </w:rPr>
      </w:pPr>
    </w:p>
    <w:p w:rsidR="00946E54" w:rsidRDefault="00946E54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lastRenderedPageBreak/>
        <w:t>Transformación suficiente</w:t>
      </w:r>
    </w:p>
    <w:p w:rsidR="00946E54" w:rsidRDefault="00946E54" w:rsidP="00946E54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Queda recogida en la </w:t>
      </w:r>
      <w:r w:rsidRPr="00946E54">
        <w:rPr>
          <w:rFonts w:ascii="Arial Narrow" w:hAnsi="Arial Narrow" w:cs="Arial"/>
          <w:b/>
          <w:bCs/>
          <w:sz w:val="24"/>
          <w:szCs w:val="24"/>
        </w:rPr>
        <w:t>lista del apéndice 2</w:t>
      </w:r>
      <w:r>
        <w:rPr>
          <w:rFonts w:ascii="Arial Narrow" w:hAnsi="Arial Narrow" w:cs="Arial"/>
          <w:bCs/>
          <w:sz w:val="24"/>
          <w:szCs w:val="24"/>
        </w:rPr>
        <w:t>, también se recoge una tolerancia general del 10% del precio franco fábrica del producto.</w:t>
      </w:r>
    </w:p>
    <w:p w:rsidR="00946E54" w:rsidRDefault="00946E54" w:rsidP="00946E54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No obstante</w:t>
      </w:r>
      <w:r w:rsidR="00DB1DA5">
        <w:rPr>
          <w:rFonts w:ascii="Arial Narrow" w:hAnsi="Arial Narrow" w:cs="Arial"/>
          <w:bCs/>
          <w:sz w:val="24"/>
          <w:szCs w:val="24"/>
        </w:rPr>
        <w:t>,</w:t>
      </w:r>
      <w:r>
        <w:rPr>
          <w:rFonts w:ascii="Arial Narrow" w:hAnsi="Arial Narrow" w:cs="Arial"/>
          <w:bCs/>
          <w:sz w:val="24"/>
          <w:szCs w:val="24"/>
        </w:rPr>
        <w:t xml:space="preserve"> el </w:t>
      </w:r>
      <w:r w:rsidRPr="00946E54">
        <w:rPr>
          <w:rFonts w:ascii="Arial Narrow" w:hAnsi="Arial Narrow" w:cs="Arial"/>
          <w:b/>
          <w:bCs/>
          <w:sz w:val="24"/>
          <w:szCs w:val="24"/>
        </w:rPr>
        <w:t>apéndice 2 A</w:t>
      </w:r>
      <w:r>
        <w:rPr>
          <w:rFonts w:ascii="Arial Narrow" w:hAnsi="Arial Narrow" w:cs="Arial"/>
          <w:bCs/>
          <w:sz w:val="24"/>
          <w:szCs w:val="24"/>
        </w:rPr>
        <w:t xml:space="preserve"> recoge excepciones a las normas de origen de la lista</w:t>
      </w:r>
      <w:r w:rsidR="00DB1DA5">
        <w:rPr>
          <w:rFonts w:ascii="Arial Narrow" w:hAnsi="Arial Narrow" w:cs="Arial"/>
          <w:bCs/>
          <w:sz w:val="24"/>
          <w:szCs w:val="24"/>
        </w:rPr>
        <w:t xml:space="preserve"> del Apéndice 2</w:t>
      </w:r>
      <w:r>
        <w:rPr>
          <w:rFonts w:ascii="Arial Narrow" w:hAnsi="Arial Narrow" w:cs="Arial"/>
          <w:bCs/>
          <w:sz w:val="24"/>
          <w:szCs w:val="24"/>
        </w:rPr>
        <w:t xml:space="preserve"> para Centroamérica, reguladas en el marco de contingentes que afecta a productos </w:t>
      </w:r>
      <w:r w:rsidR="004304EB">
        <w:rPr>
          <w:rFonts w:ascii="Arial Narrow" w:hAnsi="Arial Narrow" w:cs="Arial"/>
          <w:bCs/>
          <w:sz w:val="24"/>
          <w:szCs w:val="24"/>
        </w:rPr>
        <w:t>tales como pescados, plásticos, confección</w:t>
      </w:r>
      <w:r w:rsidR="00DB1DA5">
        <w:rPr>
          <w:rFonts w:ascii="Arial Narrow" w:hAnsi="Arial Narrow" w:cs="Arial"/>
          <w:bCs/>
          <w:sz w:val="24"/>
          <w:szCs w:val="24"/>
        </w:rPr>
        <w:t>, etc.</w:t>
      </w:r>
      <w:r w:rsidR="004304EB">
        <w:rPr>
          <w:rFonts w:ascii="Arial Narrow" w:hAnsi="Arial Narrow" w:cs="Arial"/>
          <w:bCs/>
          <w:sz w:val="24"/>
          <w:szCs w:val="24"/>
        </w:rPr>
        <w:t xml:space="preserve"> de las partidas arancelarias 16.04, 39.02, 61 y 62 etc.</w:t>
      </w:r>
    </w:p>
    <w:p w:rsidR="004304EB" w:rsidRPr="00946E54" w:rsidRDefault="004304EB" w:rsidP="00946E54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946E54" w:rsidRPr="004304EB" w:rsidRDefault="004304EB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Operaciones insuficientes </w:t>
      </w:r>
      <w:r>
        <w:rPr>
          <w:rFonts w:ascii="Arial Narrow" w:hAnsi="Arial Narrow" w:cs="Arial"/>
          <w:bCs/>
          <w:sz w:val="24"/>
          <w:szCs w:val="24"/>
        </w:rPr>
        <w:t>(Art.6)</w:t>
      </w:r>
    </w:p>
    <w:p w:rsidR="004304EB" w:rsidRDefault="004304EB" w:rsidP="004304EB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Se señala que se añade como elaboración insuficiente a la simple mezcla de productos, de clases diferentes o no; </w:t>
      </w:r>
      <w:r w:rsidRPr="004304EB">
        <w:rPr>
          <w:rFonts w:ascii="Arial Narrow" w:hAnsi="Arial Narrow" w:cs="Arial"/>
          <w:b/>
          <w:bCs/>
          <w:sz w:val="24"/>
          <w:szCs w:val="24"/>
        </w:rPr>
        <w:t>la mezcla</w:t>
      </w:r>
      <w:r>
        <w:rPr>
          <w:rFonts w:ascii="Arial Narrow" w:hAnsi="Arial Narrow" w:cs="Arial"/>
          <w:bCs/>
          <w:sz w:val="24"/>
          <w:szCs w:val="24"/>
        </w:rPr>
        <w:t xml:space="preserve"> </w:t>
      </w:r>
      <w:r w:rsidRPr="00DB1DA5">
        <w:rPr>
          <w:rFonts w:ascii="Arial Narrow" w:hAnsi="Arial Narrow" w:cs="Arial"/>
          <w:b/>
          <w:bCs/>
          <w:sz w:val="24"/>
          <w:szCs w:val="24"/>
        </w:rPr>
        <w:t>de azúcar con cualquier material</w:t>
      </w:r>
      <w:r>
        <w:rPr>
          <w:rFonts w:ascii="Arial Narrow" w:hAnsi="Arial Narrow" w:cs="Arial"/>
          <w:bCs/>
          <w:sz w:val="24"/>
          <w:szCs w:val="24"/>
        </w:rPr>
        <w:t xml:space="preserve"> (Art.6, apartado 1, letra m)</w:t>
      </w:r>
    </w:p>
    <w:p w:rsidR="005066F1" w:rsidRDefault="005066F1" w:rsidP="004304EB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4C56C3" w:rsidRPr="005066F1" w:rsidRDefault="004C56C3" w:rsidP="004C56C3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color w:val="000000"/>
          <w:sz w:val="24"/>
          <w:szCs w:val="24"/>
        </w:rPr>
      </w:pPr>
      <w:r w:rsidRPr="005066F1">
        <w:rPr>
          <w:rFonts w:ascii="Arial Narrow" w:hAnsi="Arial Narrow" w:cs="Arial"/>
          <w:b/>
          <w:bCs/>
          <w:color w:val="000000"/>
          <w:sz w:val="24"/>
          <w:szCs w:val="24"/>
        </w:rPr>
        <w:t>Unidad de calificación (Art. 7)</w:t>
      </w:r>
    </w:p>
    <w:p w:rsidR="004C56C3" w:rsidRPr="00054A9A" w:rsidRDefault="004C56C3" w:rsidP="004C56C3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color w:val="000000"/>
          <w:sz w:val="24"/>
          <w:szCs w:val="24"/>
        </w:rPr>
      </w:pPr>
      <w:r w:rsidRPr="00054A9A">
        <w:rPr>
          <w:rFonts w:ascii="Arial Narrow" w:hAnsi="Arial Narrow" w:cs="Arial"/>
          <w:bCs/>
          <w:color w:val="000000"/>
          <w:sz w:val="24"/>
          <w:szCs w:val="24"/>
        </w:rPr>
        <w:t xml:space="preserve">Se recoge la norma estándar que la UE tiene en todos sus Acuerdos preferenciales, </w:t>
      </w:r>
      <w:r w:rsidR="00407E6F">
        <w:rPr>
          <w:rFonts w:ascii="Arial Narrow" w:hAnsi="Arial Narrow" w:cs="Arial"/>
          <w:bCs/>
          <w:color w:val="000000"/>
          <w:sz w:val="24"/>
          <w:szCs w:val="24"/>
        </w:rPr>
        <w:t xml:space="preserve">según la cual </w:t>
      </w:r>
      <w:r w:rsidRPr="00054A9A">
        <w:rPr>
          <w:rFonts w:ascii="Arial Narrow" w:hAnsi="Arial Narrow" w:cs="Arial"/>
          <w:bCs/>
          <w:color w:val="000000"/>
          <w:sz w:val="24"/>
          <w:szCs w:val="24"/>
        </w:rPr>
        <w:t xml:space="preserve">la unidad de calificación es el producto concreto </w:t>
      </w:r>
      <w:r w:rsidR="00A8779E">
        <w:rPr>
          <w:rFonts w:ascii="Arial Narrow" w:hAnsi="Arial Narrow" w:cs="Arial"/>
          <w:bCs/>
          <w:color w:val="000000"/>
          <w:sz w:val="24"/>
          <w:szCs w:val="24"/>
        </w:rPr>
        <w:t>en el</w:t>
      </w:r>
      <w:r w:rsidRPr="00054A9A">
        <w:rPr>
          <w:rFonts w:ascii="Arial Narrow" w:hAnsi="Arial Narrow" w:cs="Arial"/>
          <w:bCs/>
          <w:color w:val="000000"/>
          <w:sz w:val="24"/>
          <w:szCs w:val="24"/>
        </w:rPr>
        <w:t xml:space="preserve"> momento de su clasificación arancelaria utilizando </w:t>
      </w:r>
      <w:r w:rsidR="00A8779E">
        <w:rPr>
          <w:rFonts w:ascii="Arial Narrow" w:hAnsi="Arial Narrow" w:cs="Arial"/>
          <w:bCs/>
          <w:color w:val="000000"/>
          <w:sz w:val="24"/>
          <w:szCs w:val="24"/>
        </w:rPr>
        <w:t xml:space="preserve">para ello </w:t>
      </w:r>
      <w:r w:rsidRPr="00054A9A">
        <w:rPr>
          <w:rFonts w:ascii="Arial Narrow" w:hAnsi="Arial Narrow" w:cs="Arial"/>
          <w:bCs/>
          <w:color w:val="000000"/>
          <w:sz w:val="24"/>
          <w:szCs w:val="24"/>
        </w:rPr>
        <w:t>la nomenclatura del Sistema Armonizado (S.A).</w:t>
      </w:r>
    </w:p>
    <w:p w:rsidR="004C56C3" w:rsidRDefault="004C56C3" w:rsidP="004C56C3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color w:val="000000"/>
          <w:sz w:val="24"/>
          <w:szCs w:val="24"/>
        </w:rPr>
      </w:pPr>
      <w:r w:rsidRPr="00054A9A">
        <w:rPr>
          <w:rFonts w:ascii="Arial Narrow" w:hAnsi="Arial Narrow" w:cs="Arial"/>
          <w:bCs/>
          <w:color w:val="000000"/>
          <w:sz w:val="24"/>
          <w:szCs w:val="24"/>
        </w:rPr>
        <w:t>De ahí que, si un envío está formado por varios productos idénticos clasificados en la misma partida arancelaria del S.A, es cada producto concreto de dicho envío el que</w:t>
      </w:r>
      <w:r>
        <w:rPr>
          <w:rFonts w:ascii="Arial Narrow" w:hAnsi="Arial Narrow" w:cs="Arial"/>
          <w:bCs/>
          <w:color w:val="FF0000"/>
          <w:sz w:val="24"/>
          <w:szCs w:val="24"/>
        </w:rPr>
        <w:t xml:space="preserve"> </w:t>
      </w:r>
      <w:r w:rsidRPr="003B4441">
        <w:rPr>
          <w:rFonts w:ascii="Arial Narrow" w:hAnsi="Arial Narrow" w:cs="Arial"/>
          <w:bCs/>
          <w:color w:val="000000"/>
          <w:sz w:val="24"/>
          <w:szCs w:val="24"/>
        </w:rPr>
        <w:t>debe</w:t>
      </w:r>
      <w:r w:rsidR="00252816">
        <w:rPr>
          <w:rFonts w:ascii="Arial Narrow" w:hAnsi="Arial Narrow" w:cs="Arial"/>
          <w:bCs/>
          <w:color w:val="000000"/>
          <w:sz w:val="24"/>
          <w:szCs w:val="24"/>
        </w:rPr>
        <w:t>rá</w:t>
      </w:r>
      <w:r w:rsidRPr="003B4441">
        <w:rPr>
          <w:rFonts w:ascii="Arial Narrow" w:hAnsi="Arial Narrow" w:cs="Arial"/>
          <w:bCs/>
          <w:color w:val="000000"/>
          <w:sz w:val="24"/>
          <w:szCs w:val="24"/>
        </w:rPr>
        <w:t xml:space="preserve"> cumplir las normas de origen del Anexo II de este Acuerdo para considerarse originario y poder obtener las preferencias </w:t>
      </w:r>
      <w:r w:rsidR="003B4F02">
        <w:rPr>
          <w:rFonts w:ascii="Arial Narrow" w:hAnsi="Arial Narrow" w:cs="Arial"/>
          <w:bCs/>
          <w:color w:val="000000"/>
          <w:sz w:val="24"/>
          <w:szCs w:val="24"/>
        </w:rPr>
        <w:t>que tenga estipulado el Acuerdo</w:t>
      </w:r>
      <w:proofErr w:type="gramStart"/>
      <w:r w:rsidR="003B4F02">
        <w:rPr>
          <w:rFonts w:ascii="Arial Narrow" w:hAnsi="Arial Narrow" w:cs="Arial"/>
          <w:bCs/>
          <w:color w:val="000000"/>
          <w:sz w:val="24"/>
          <w:szCs w:val="24"/>
        </w:rPr>
        <w:t>.</w:t>
      </w:r>
      <w:r w:rsidRPr="003B4441">
        <w:rPr>
          <w:rFonts w:ascii="Arial Narrow" w:hAnsi="Arial Narrow" w:cs="Arial"/>
          <w:bCs/>
          <w:color w:val="000000"/>
          <w:sz w:val="24"/>
          <w:szCs w:val="24"/>
        </w:rPr>
        <w:t>.</w:t>
      </w:r>
      <w:proofErr w:type="gramEnd"/>
    </w:p>
    <w:p w:rsidR="004C56C3" w:rsidRPr="004304EB" w:rsidRDefault="004C56C3" w:rsidP="004304EB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4304EB" w:rsidRPr="004304EB" w:rsidRDefault="004304EB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Transporte directo </w:t>
      </w:r>
      <w:r>
        <w:rPr>
          <w:rFonts w:ascii="Arial Narrow" w:hAnsi="Arial Narrow" w:cs="Arial"/>
          <w:bCs/>
          <w:sz w:val="24"/>
          <w:szCs w:val="24"/>
        </w:rPr>
        <w:t>(Art.12)</w:t>
      </w:r>
    </w:p>
    <w:p w:rsidR="004304EB" w:rsidRDefault="004304EB" w:rsidP="004304EB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Norma tradicional que exige</w:t>
      </w:r>
      <w:r w:rsidR="00DB1DA5">
        <w:rPr>
          <w:rFonts w:ascii="Arial Narrow" w:hAnsi="Arial Narrow" w:cs="Arial"/>
          <w:bCs/>
          <w:sz w:val="24"/>
          <w:szCs w:val="24"/>
        </w:rPr>
        <w:t xml:space="preserve"> esta justificación</w:t>
      </w:r>
      <w:r w:rsidR="006851A6">
        <w:rPr>
          <w:rFonts w:ascii="Arial Narrow" w:hAnsi="Arial Narrow" w:cs="Arial"/>
          <w:bCs/>
          <w:sz w:val="24"/>
          <w:szCs w:val="24"/>
        </w:rPr>
        <w:t xml:space="preserve"> </w:t>
      </w:r>
      <w:r w:rsidR="00DB1DA5">
        <w:rPr>
          <w:rFonts w:ascii="Arial Narrow" w:hAnsi="Arial Narrow" w:cs="Arial"/>
          <w:bCs/>
          <w:sz w:val="24"/>
          <w:szCs w:val="24"/>
        </w:rPr>
        <w:t>d</w:t>
      </w:r>
      <w:r>
        <w:rPr>
          <w:rFonts w:ascii="Arial Narrow" w:hAnsi="Arial Narrow" w:cs="Arial"/>
          <w:bCs/>
          <w:sz w:val="24"/>
          <w:szCs w:val="24"/>
        </w:rPr>
        <w:t xml:space="preserve">el cumplimiento de las condiciones </w:t>
      </w:r>
      <w:r w:rsidR="009D2101">
        <w:rPr>
          <w:rFonts w:ascii="Arial Narrow" w:hAnsi="Arial Narrow" w:cs="Arial"/>
          <w:bCs/>
          <w:sz w:val="24"/>
          <w:szCs w:val="24"/>
        </w:rPr>
        <w:t>estipuladas mediante.</w:t>
      </w:r>
    </w:p>
    <w:p w:rsidR="009D2101" w:rsidRDefault="009D2101" w:rsidP="009D2101">
      <w:pPr>
        <w:numPr>
          <w:ilvl w:val="0"/>
          <w:numId w:val="6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Un documento único de transporte</w:t>
      </w:r>
    </w:p>
    <w:p w:rsidR="009D2101" w:rsidRDefault="009D2101" w:rsidP="009D2101">
      <w:pPr>
        <w:numPr>
          <w:ilvl w:val="0"/>
          <w:numId w:val="6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Un certificado de no manipulación </w:t>
      </w:r>
    </w:p>
    <w:p w:rsidR="009D2101" w:rsidRDefault="009D2101" w:rsidP="009D2101">
      <w:pPr>
        <w:numPr>
          <w:ilvl w:val="0"/>
          <w:numId w:val="6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En ausencia de los documentos anteriores cualquier documento de prueba </w:t>
      </w:r>
      <w:r w:rsidR="006851A6">
        <w:rPr>
          <w:rFonts w:ascii="Arial Narrow" w:hAnsi="Arial Narrow" w:cs="Arial"/>
          <w:bCs/>
          <w:sz w:val="24"/>
          <w:szCs w:val="24"/>
        </w:rPr>
        <w:t>a</w:t>
      </w:r>
      <w:r>
        <w:rPr>
          <w:rFonts w:ascii="Arial Narrow" w:hAnsi="Arial Narrow" w:cs="Arial"/>
          <w:bCs/>
          <w:sz w:val="24"/>
          <w:szCs w:val="24"/>
        </w:rPr>
        <w:t xml:space="preserve"> satisfacción de la autoridad aduanera de la Parte importadora.</w:t>
      </w:r>
    </w:p>
    <w:p w:rsidR="009D2101" w:rsidRDefault="009D2101" w:rsidP="009D2101">
      <w:pPr>
        <w:autoSpaceDE w:val="0"/>
        <w:autoSpaceDN w:val="0"/>
        <w:adjustRightInd w:val="0"/>
        <w:spacing w:after="60"/>
        <w:ind w:left="708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No obstante</w:t>
      </w:r>
      <w:r w:rsidR="006851A6">
        <w:rPr>
          <w:rFonts w:ascii="Arial Narrow" w:hAnsi="Arial Narrow" w:cs="Arial"/>
          <w:bCs/>
          <w:sz w:val="24"/>
          <w:szCs w:val="24"/>
        </w:rPr>
        <w:t>,</w:t>
      </w:r>
      <w:r>
        <w:rPr>
          <w:rFonts w:ascii="Arial Narrow" w:hAnsi="Arial Narrow" w:cs="Arial"/>
          <w:bCs/>
          <w:sz w:val="24"/>
          <w:szCs w:val="24"/>
        </w:rPr>
        <w:t xml:space="preserve"> se recoge una tolerancia de extraterritorialidad</w:t>
      </w:r>
      <w:r w:rsidR="006851A6">
        <w:rPr>
          <w:rFonts w:ascii="Arial Narrow" w:hAnsi="Arial Narrow" w:cs="Arial"/>
          <w:bCs/>
          <w:sz w:val="24"/>
          <w:szCs w:val="24"/>
        </w:rPr>
        <w:t xml:space="preserve"> del 10% del precio franco fábrica</w:t>
      </w:r>
      <w:r>
        <w:rPr>
          <w:rFonts w:ascii="Arial Narrow" w:hAnsi="Arial Narrow" w:cs="Arial"/>
          <w:bCs/>
          <w:sz w:val="24"/>
          <w:szCs w:val="24"/>
        </w:rPr>
        <w:t xml:space="preserve"> en el Art.11, apartado 4.</w:t>
      </w:r>
    </w:p>
    <w:p w:rsidR="00E557FC" w:rsidRPr="004304EB" w:rsidRDefault="00E557FC" w:rsidP="009D2101">
      <w:pPr>
        <w:autoSpaceDE w:val="0"/>
        <w:autoSpaceDN w:val="0"/>
        <w:adjustRightInd w:val="0"/>
        <w:spacing w:after="60"/>
        <w:ind w:left="708"/>
        <w:jc w:val="both"/>
        <w:rPr>
          <w:rFonts w:ascii="Arial Narrow" w:hAnsi="Arial Narrow" w:cs="Arial"/>
          <w:bCs/>
          <w:sz w:val="24"/>
          <w:szCs w:val="24"/>
        </w:rPr>
      </w:pPr>
    </w:p>
    <w:p w:rsidR="004304EB" w:rsidRPr="009D2101" w:rsidRDefault="009D2101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No existe la norma de prohibición de reintegro o exención </w:t>
      </w:r>
      <w:r>
        <w:rPr>
          <w:rFonts w:ascii="Arial Narrow" w:hAnsi="Arial Narrow" w:cs="Arial"/>
          <w:bCs/>
          <w:sz w:val="24"/>
          <w:szCs w:val="24"/>
        </w:rPr>
        <w:t xml:space="preserve">de los derechos de aduanas (Norma de No </w:t>
      </w:r>
      <w:proofErr w:type="spellStart"/>
      <w:r>
        <w:rPr>
          <w:rFonts w:ascii="Arial Narrow" w:hAnsi="Arial Narrow" w:cs="Arial"/>
          <w:bCs/>
          <w:sz w:val="24"/>
          <w:szCs w:val="24"/>
        </w:rPr>
        <w:t>drawback</w:t>
      </w:r>
      <w:proofErr w:type="spellEnd"/>
      <w:r>
        <w:rPr>
          <w:rFonts w:ascii="Arial Narrow" w:hAnsi="Arial Narrow" w:cs="Arial"/>
          <w:bCs/>
          <w:sz w:val="24"/>
          <w:szCs w:val="24"/>
        </w:rPr>
        <w:t>).</w:t>
      </w:r>
    </w:p>
    <w:p w:rsidR="009D2101" w:rsidRDefault="009D2101" w:rsidP="009D2101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lastRenderedPageBreak/>
        <w:t>En consecuencia no es de aplicación el Art.216 del Reglamento 2913/92 (Código Aduanero) y</w:t>
      </w:r>
      <w:r w:rsidR="006851A6">
        <w:rPr>
          <w:rFonts w:ascii="Arial Narrow" w:hAnsi="Arial Narrow" w:cs="Arial"/>
          <w:bCs/>
          <w:sz w:val="24"/>
          <w:szCs w:val="24"/>
        </w:rPr>
        <w:t>,</w:t>
      </w:r>
      <w:r>
        <w:rPr>
          <w:rFonts w:ascii="Arial Narrow" w:hAnsi="Arial Narrow" w:cs="Arial"/>
          <w:bCs/>
          <w:sz w:val="24"/>
          <w:szCs w:val="24"/>
        </w:rPr>
        <w:t xml:space="preserve"> por tanto</w:t>
      </w:r>
      <w:r w:rsidR="006851A6">
        <w:rPr>
          <w:rFonts w:ascii="Arial Narrow" w:hAnsi="Arial Narrow" w:cs="Arial"/>
          <w:bCs/>
          <w:sz w:val="24"/>
          <w:szCs w:val="24"/>
        </w:rPr>
        <w:t>,</w:t>
      </w:r>
      <w:r>
        <w:rPr>
          <w:rFonts w:ascii="Arial Narrow" w:hAnsi="Arial Narrow" w:cs="Arial"/>
          <w:bCs/>
          <w:sz w:val="24"/>
          <w:szCs w:val="24"/>
        </w:rPr>
        <w:t xml:space="preserve"> no </w:t>
      </w:r>
      <w:r w:rsidR="00CB4FEF">
        <w:rPr>
          <w:rFonts w:ascii="Arial Narrow" w:hAnsi="Arial Narrow" w:cs="Arial"/>
          <w:bCs/>
          <w:sz w:val="24"/>
          <w:szCs w:val="24"/>
        </w:rPr>
        <w:t xml:space="preserve">se exige </w:t>
      </w:r>
      <w:r w:rsidR="00CB4FEF" w:rsidRPr="00E02D1C">
        <w:rPr>
          <w:rFonts w:ascii="Arial Narrow" w:hAnsi="Arial Narrow" w:cs="Arial"/>
          <w:bCs/>
          <w:sz w:val="24"/>
          <w:szCs w:val="24"/>
        </w:rPr>
        <w:t>en todos los casos</w:t>
      </w:r>
      <w:r w:rsidR="00CB4FEF">
        <w:rPr>
          <w:rFonts w:ascii="Arial Narrow" w:hAnsi="Arial Narrow" w:cs="Arial"/>
          <w:bCs/>
          <w:sz w:val="24"/>
          <w:szCs w:val="24"/>
        </w:rPr>
        <w:t xml:space="preserve"> la</w:t>
      </w:r>
      <w:r>
        <w:rPr>
          <w:rFonts w:ascii="Arial Narrow" w:hAnsi="Arial Narrow" w:cs="Arial"/>
          <w:bCs/>
          <w:sz w:val="24"/>
          <w:szCs w:val="24"/>
        </w:rPr>
        <w:t xml:space="preserve"> liquidación de los derechos de aduanas de las materias no originarias utilizadas en la fabricación de un producto en una de las Partes contratantes de este Acuerdo a su exportación a la otra Parte.</w:t>
      </w:r>
    </w:p>
    <w:p w:rsidR="005066F1" w:rsidRPr="009D2101" w:rsidRDefault="005066F1" w:rsidP="009D2101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9D2101" w:rsidRPr="009D2101" w:rsidRDefault="009D2101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La prueba de origen </w:t>
      </w:r>
      <w:r>
        <w:rPr>
          <w:rFonts w:ascii="Arial Narrow" w:hAnsi="Arial Narrow" w:cs="Arial"/>
          <w:bCs/>
          <w:sz w:val="24"/>
          <w:szCs w:val="24"/>
        </w:rPr>
        <w:t>(Art.14) es:</w:t>
      </w:r>
    </w:p>
    <w:p w:rsidR="009D2101" w:rsidRPr="009D2101" w:rsidRDefault="009D2101" w:rsidP="009D2101">
      <w:pPr>
        <w:numPr>
          <w:ilvl w:val="0"/>
          <w:numId w:val="7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El Certificado EUR-1 (Art.15), ó</w:t>
      </w:r>
    </w:p>
    <w:p w:rsidR="009D2101" w:rsidRPr="00347A42" w:rsidRDefault="009D2101" w:rsidP="009D2101">
      <w:pPr>
        <w:numPr>
          <w:ilvl w:val="0"/>
          <w:numId w:val="7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La declaración de origen, que se denomina “declaración en factura” pero que puede ser </w:t>
      </w:r>
      <w:r w:rsidR="00E014AE">
        <w:rPr>
          <w:rFonts w:ascii="Arial Narrow" w:hAnsi="Arial Narrow" w:cs="Arial"/>
          <w:bCs/>
          <w:sz w:val="24"/>
          <w:szCs w:val="24"/>
        </w:rPr>
        <w:t>extendida por el exportador en una factura, una nota de entrega</w:t>
      </w:r>
      <w:r w:rsidR="00347A42">
        <w:rPr>
          <w:rFonts w:ascii="Arial Narrow" w:hAnsi="Arial Narrow" w:cs="Arial"/>
          <w:bCs/>
          <w:sz w:val="24"/>
          <w:szCs w:val="24"/>
        </w:rPr>
        <w:t xml:space="preserve"> o cualquier otro documento comercial.</w:t>
      </w:r>
    </w:p>
    <w:p w:rsidR="00347A42" w:rsidRDefault="00347A42" w:rsidP="00347A42">
      <w:pPr>
        <w:autoSpaceDE w:val="0"/>
        <w:autoSpaceDN w:val="0"/>
        <w:adjustRightInd w:val="0"/>
        <w:spacing w:after="60"/>
        <w:ind w:left="708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Estas pruebas de origen tendrán una </w:t>
      </w:r>
      <w:r w:rsidRPr="006851A6">
        <w:rPr>
          <w:rFonts w:ascii="Arial Narrow" w:hAnsi="Arial Narrow" w:cs="Arial"/>
          <w:b/>
          <w:bCs/>
          <w:sz w:val="24"/>
          <w:szCs w:val="24"/>
        </w:rPr>
        <w:t>validez</w:t>
      </w:r>
      <w:r>
        <w:rPr>
          <w:rFonts w:ascii="Arial Narrow" w:hAnsi="Arial Narrow" w:cs="Arial"/>
          <w:bCs/>
          <w:sz w:val="24"/>
          <w:szCs w:val="24"/>
        </w:rPr>
        <w:t xml:space="preserve"> de </w:t>
      </w:r>
      <w:r>
        <w:rPr>
          <w:rFonts w:ascii="Arial Narrow" w:hAnsi="Arial Narrow" w:cs="Arial"/>
          <w:b/>
          <w:bCs/>
          <w:sz w:val="24"/>
          <w:szCs w:val="24"/>
        </w:rPr>
        <w:t>d</w:t>
      </w:r>
      <w:r w:rsidR="005476E6">
        <w:rPr>
          <w:rFonts w:ascii="Arial Narrow" w:hAnsi="Arial Narrow" w:cs="Arial"/>
          <w:b/>
          <w:bCs/>
          <w:sz w:val="24"/>
          <w:szCs w:val="24"/>
        </w:rPr>
        <w:t>oce</w:t>
      </w:r>
      <w:r>
        <w:rPr>
          <w:rFonts w:ascii="Arial Narrow" w:hAnsi="Arial Narrow" w:cs="Arial"/>
          <w:b/>
          <w:bCs/>
          <w:sz w:val="24"/>
          <w:szCs w:val="24"/>
        </w:rPr>
        <w:t xml:space="preserve"> meses</w:t>
      </w:r>
      <w:r>
        <w:rPr>
          <w:rFonts w:ascii="Arial Narrow" w:hAnsi="Arial Narrow" w:cs="Arial"/>
          <w:bCs/>
          <w:sz w:val="24"/>
          <w:szCs w:val="24"/>
        </w:rPr>
        <w:t xml:space="preserve"> desde su expedición (Art.21).</w:t>
      </w:r>
    </w:p>
    <w:p w:rsidR="00347A42" w:rsidRDefault="00347A42" w:rsidP="00347A42">
      <w:pPr>
        <w:autoSpaceDE w:val="0"/>
        <w:autoSpaceDN w:val="0"/>
        <w:adjustRightInd w:val="0"/>
        <w:spacing w:after="60"/>
        <w:ind w:left="708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No obstante, puede aceptarse la prueba de origen una vez expirado dicho plazo de validez debido a:</w:t>
      </w:r>
    </w:p>
    <w:p w:rsidR="00347A42" w:rsidRDefault="00347A42" w:rsidP="00347A42">
      <w:pPr>
        <w:numPr>
          <w:ilvl w:val="0"/>
          <w:numId w:val="8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Circunstancias excepcionales ó</w:t>
      </w:r>
    </w:p>
    <w:p w:rsidR="00347A42" w:rsidRDefault="00347A42" w:rsidP="00347A42">
      <w:pPr>
        <w:numPr>
          <w:ilvl w:val="0"/>
          <w:numId w:val="8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Si a partir de la fecha de importación se presenta una prueba de origen dentro de los plazos siguientes:</w:t>
      </w:r>
    </w:p>
    <w:p w:rsidR="00347A42" w:rsidRDefault="00347A42" w:rsidP="00347A42">
      <w:pPr>
        <w:numPr>
          <w:ilvl w:val="1"/>
          <w:numId w:val="8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Dos años para la UE</w:t>
      </w:r>
    </w:p>
    <w:p w:rsidR="00347A42" w:rsidRDefault="00347A42" w:rsidP="00347A42">
      <w:pPr>
        <w:numPr>
          <w:ilvl w:val="1"/>
          <w:numId w:val="8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Un año para Centroamérica (Apéndice 5)</w:t>
      </w:r>
    </w:p>
    <w:p w:rsidR="00347A42" w:rsidRDefault="00347A42" w:rsidP="00347A42">
      <w:pPr>
        <w:autoSpaceDE w:val="0"/>
        <w:autoSpaceDN w:val="0"/>
        <w:adjustRightInd w:val="0"/>
        <w:spacing w:after="60"/>
        <w:ind w:left="708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El exportador que extienda la “declaración en factura” podrá </w:t>
      </w:r>
      <w:r w:rsidR="006851A6">
        <w:rPr>
          <w:rFonts w:ascii="Arial Narrow" w:hAnsi="Arial Narrow" w:cs="Arial"/>
          <w:bCs/>
          <w:sz w:val="24"/>
          <w:szCs w:val="24"/>
        </w:rPr>
        <w:t>hacerla</w:t>
      </w:r>
      <w:r>
        <w:rPr>
          <w:rFonts w:ascii="Arial Narrow" w:hAnsi="Arial Narrow" w:cs="Arial"/>
          <w:bCs/>
          <w:sz w:val="24"/>
          <w:szCs w:val="24"/>
        </w:rPr>
        <w:t xml:space="preserve"> sin autorización previa de la autoridad aduanera si el envío es inferior a 6.000 €. Para envíos superior a 6.000 € se precisa, en todo caso, que el exportador </w:t>
      </w:r>
      <w:r w:rsidR="007B2F3E">
        <w:rPr>
          <w:rFonts w:ascii="Arial Narrow" w:hAnsi="Arial Narrow" w:cs="Arial"/>
          <w:bCs/>
          <w:sz w:val="24"/>
          <w:szCs w:val="24"/>
        </w:rPr>
        <w:t xml:space="preserve">cuente con la correspondiente autorización e indique en la </w:t>
      </w:r>
      <w:r w:rsidR="006851A6">
        <w:rPr>
          <w:rFonts w:ascii="Arial Narrow" w:hAnsi="Arial Narrow" w:cs="Arial"/>
          <w:bCs/>
          <w:sz w:val="24"/>
          <w:szCs w:val="24"/>
        </w:rPr>
        <w:t>“</w:t>
      </w:r>
      <w:r w:rsidR="007B2F3E">
        <w:rPr>
          <w:rFonts w:ascii="Arial Narrow" w:hAnsi="Arial Narrow" w:cs="Arial"/>
          <w:bCs/>
          <w:sz w:val="24"/>
          <w:szCs w:val="24"/>
        </w:rPr>
        <w:t>declaración en factura</w:t>
      </w:r>
      <w:r w:rsidR="006851A6">
        <w:rPr>
          <w:rFonts w:ascii="Arial Narrow" w:hAnsi="Arial Narrow" w:cs="Arial"/>
          <w:bCs/>
          <w:sz w:val="24"/>
          <w:szCs w:val="24"/>
        </w:rPr>
        <w:t>”</w:t>
      </w:r>
      <w:r w:rsidR="007B2F3E">
        <w:rPr>
          <w:rFonts w:ascii="Arial Narrow" w:hAnsi="Arial Narrow" w:cs="Arial"/>
          <w:bCs/>
          <w:sz w:val="24"/>
          <w:szCs w:val="24"/>
        </w:rPr>
        <w:t xml:space="preserve"> el número de autorización que se le ha asignado (Art.19 y apéndice </w:t>
      </w:r>
      <w:r w:rsidR="00C93EBF">
        <w:rPr>
          <w:rFonts w:ascii="Arial Narrow" w:hAnsi="Arial Narrow" w:cs="Arial"/>
          <w:bCs/>
          <w:sz w:val="24"/>
          <w:szCs w:val="24"/>
        </w:rPr>
        <w:t>6).</w:t>
      </w:r>
    </w:p>
    <w:p w:rsidR="00C93EBF" w:rsidRDefault="00C93EBF" w:rsidP="00347A42">
      <w:pPr>
        <w:autoSpaceDE w:val="0"/>
        <w:autoSpaceDN w:val="0"/>
        <w:adjustRightInd w:val="0"/>
        <w:spacing w:after="60"/>
        <w:ind w:left="708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La declaración en factura puede extenderse “a posteriori” (Apéndice 5) siempre que se presente en la Parte importadora dentro de los plazos siguientes:</w:t>
      </w:r>
    </w:p>
    <w:p w:rsidR="00C93EBF" w:rsidRDefault="00C93EBF" w:rsidP="00C93EBF">
      <w:pPr>
        <w:numPr>
          <w:ilvl w:val="0"/>
          <w:numId w:val="9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Para la UE dos años</w:t>
      </w:r>
    </w:p>
    <w:p w:rsidR="00C93EBF" w:rsidRDefault="00C93EBF" w:rsidP="00C93EBF">
      <w:pPr>
        <w:numPr>
          <w:ilvl w:val="0"/>
          <w:numId w:val="9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Para Centroamérica un año</w:t>
      </w:r>
      <w:r w:rsidR="005066F1">
        <w:rPr>
          <w:rFonts w:ascii="Arial Narrow" w:hAnsi="Arial Narrow" w:cs="Arial"/>
          <w:bCs/>
          <w:sz w:val="24"/>
          <w:szCs w:val="24"/>
        </w:rPr>
        <w:t>.</w:t>
      </w:r>
    </w:p>
    <w:p w:rsidR="005066F1" w:rsidRDefault="005066F1" w:rsidP="005066F1">
      <w:pPr>
        <w:autoSpaceDE w:val="0"/>
        <w:autoSpaceDN w:val="0"/>
        <w:adjustRightInd w:val="0"/>
        <w:spacing w:after="60"/>
        <w:ind w:left="2130"/>
        <w:jc w:val="both"/>
        <w:rPr>
          <w:rFonts w:ascii="Arial Narrow" w:hAnsi="Arial Narrow" w:cs="Arial"/>
          <w:bCs/>
          <w:sz w:val="24"/>
          <w:szCs w:val="24"/>
        </w:rPr>
      </w:pPr>
    </w:p>
    <w:p w:rsidR="009D2101" w:rsidRDefault="00C93EBF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Exención </w:t>
      </w:r>
      <w:r>
        <w:rPr>
          <w:rFonts w:ascii="Arial Narrow" w:hAnsi="Arial Narrow" w:cs="Arial"/>
          <w:bCs/>
          <w:sz w:val="24"/>
          <w:szCs w:val="24"/>
        </w:rPr>
        <w:t xml:space="preserve">de la </w:t>
      </w:r>
      <w:r w:rsidRPr="00C93EBF">
        <w:rPr>
          <w:rFonts w:ascii="Arial Narrow" w:hAnsi="Arial Narrow" w:cs="Arial"/>
          <w:b/>
          <w:bCs/>
          <w:sz w:val="24"/>
          <w:szCs w:val="24"/>
        </w:rPr>
        <w:t>prueba de origen</w:t>
      </w:r>
    </w:p>
    <w:p w:rsidR="00666908" w:rsidRDefault="00C93EBF" w:rsidP="00C93EBF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>Para envíos, sin carácter comercial</w:t>
      </w:r>
      <w:r w:rsidR="006851A6">
        <w:rPr>
          <w:rFonts w:ascii="Arial Narrow" w:hAnsi="Arial Narrow" w:cs="Arial"/>
          <w:bCs/>
          <w:sz w:val="24"/>
          <w:szCs w:val="24"/>
        </w:rPr>
        <w:t>,</w:t>
      </w:r>
      <w:r w:rsidR="00731BC7">
        <w:rPr>
          <w:rFonts w:ascii="Arial Narrow" w:hAnsi="Arial Narrow" w:cs="Arial"/>
          <w:bCs/>
          <w:sz w:val="24"/>
          <w:szCs w:val="24"/>
        </w:rPr>
        <w:t xml:space="preserve"> entre particulares</w:t>
      </w:r>
      <w:r w:rsidR="00666908">
        <w:rPr>
          <w:rFonts w:ascii="Arial Narrow" w:hAnsi="Arial Narrow" w:cs="Arial"/>
          <w:bCs/>
          <w:sz w:val="24"/>
          <w:szCs w:val="24"/>
        </w:rPr>
        <w:t>,</w:t>
      </w:r>
      <w:r w:rsidR="00731BC7">
        <w:rPr>
          <w:rFonts w:ascii="Arial Narrow" w:hAnsi="Arial Narrow" w:cs="Arial"/>
          <w:bCs/>
          <w:sz w:val="24"/>
          <w:szCs w:val="24"/>
        </w:rPr>
        <w:t xml:space="preserve"> por un </w:t>
      </w:r>
      <w:r w:rsidR="00666908">
        <w:rPr>
          <w:rFonts w:ascii="Arial Narrow" w:hAnsi="Arial Narrow" w:cs="Arial"/>
          <w:bCs/>
          <w:sz w:val="24"/>
          <w:szCs w:val="24"/>
        </w:rPr>
        <w:t>valor no superior a 500 € y para productos en los equipajes personales de</w:t>
      </w:r>
      <w:r w:rsidR="006851A6">
        <w:rPr>
          <w:rFonts w:ascii="Arial Narrow" w:hAnsi="Arial Narrow" w:cs="Arial"/>
          <w:bCs/>
          <w:sz w:val="24"/>
          <w:szCs w:val="24"/>
        </w:rPr>
        <w:t xml:space="preserve"> los</w:t>
      </w:r>
      <w:r w:rsidR="00666908">
        <w:rPr>
          <w:rFonts w:ascii="Arial Narrow" w:hAnsi="Arial Narrow" w:cs="Arial"/>
          <w:bCs/>
          <w:sz w:val="24"/>
          <w:szCs w:val="24"/>
        </w:rPr>
        <w:t xml:space="preserve"> viajeros por importe inferior a 1.200 € (Art.24 y apéndice 6).</w:t>
      </w:r>
    </w:p>
    <w:p w:rsidR="00E557FC" w:rsidRDefault="00E557FC" w:rsidP="00C93EBF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5066F1" w:rsidRPr="00C93EBF" w:rsidRDefault="005066F1" w:rsidP="00C93EBF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C93EBF" w:rsidRPr="00666908" w:rsidRDefault="00666908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lastRenderedPageBreak/>
        <w:t>Verificación a posteriori</w:t>
      </w:r>
      <w:r>
        <w:rPr>
          <w:rFonts w:ascii="Arial Narrow" w:hAnsi="Arial Narrow" w:cs="Arial"/>
          <w:bCs/>
          <w:sz w:val="24"/>
          <w:szCs w:val="24"/>
        </w:rPr>
        <w:t xml:space="preserve"> de la prueba de origen:</w:t>
      </w:r>
    </w:p>
    <w:p w:rsidR="00666908" w:rsidRDefault="00666908" w:rsidP="00666908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Se establece </w:t>
      </w:r>
      <w:r w:rsidR="006851A6">
        <w:rPr>
          <w:rFonts w:ascii="Arial Narrow" w:hAnsi="Arial Narrow" w:cs="Arial"/>
          <w:bCs/>
          <w:sz w:val="24"/>
          <w:szCs w:val="24"/>
        </w:rPr>
        <w:t>el</w:t>
      </w:r>
      <w:r>
        <w:rPr>
          <w:rFonts w:ascii="Arial Narrow" w:hAnsi="Arial Narrow" w:cs="Arial"/>
          <w:bCs/>
          <w:sz w:val="24"/>
          <w:szCs w:val="24"/>
        </w:rPr>
        <w:t xml:space="preserve"> procedimiento habitual en el Art.30. Luego</w:t>
      </w:r>
      <w:r w:rsidR="006851A6">
        <w:rPr>
          <w:rFonts w:ascii="Arial Narrow" w:hAnsi="Arial Narrow" w:cs="Arial"/>
          <w:bCs/>
          <w:sz w:val="24"/>
          <w:szCs w:val="24"/>
        </w:rPr>
        <w:t>,</w:t>
      </w:r>
      <w:r>
        <w:rPr>
          <w:rFonts w:ascii="Arial Narrow" w:hAnsi="Arial Narrow" w:cs="Arial"/>
          <w:bCs/>
          <w:sz w:val="24"/>
          <w:szCs w:val="24"/>
        </w:rPr>
        <w:t xml:space="preserve"> pueden efectuarse por sondeo o por duda razonable</w:t>
      </w:r>
      <w:r w:rsidR="006851A6">
        <w:rPr>
          <w:rFonts w:ascii="Arial Narrow" w:hAnsi="Arial Narrow" w:cs="Arial"/>
          <w:bCs/>
          <w:sz w:val="24"/>
          <w:szCs w:val="24"/>
        </w:rPr>
        <w:t>,</w:t>
      </w:r>
      <w:r>
        <w:rPr>
          <w:rFonts w:ascii="Arial Narrow" w:hAnsi="Arial Narrow" w:cs="Arial"/>
          <w:bCs/>
          <w:sz w:val="24"/>
          <w:szCs w:val="24"/>
        </w:rPr>
        <w:t xml:space="preserve"> en este último caso</w:t>
      </w:r>
      <w:r w:rsidR="006851A6">
        <w:rPr>
          <w:rFonts w:ascii="Arial Narrow" w:hAnsi="Arial Narrow" w:cs="Arial"/>
          <w:bCs/>
          <w:sz w:val="24"/>
          <w:szCs w:val="24"/>
        </w:rPr>
        <w:t xml:space="preserve"> la</w:t>
      </w:r>
      <w:r>
        <w:rPr>
          <w:rFonts w:ascii="Arial Narrow" w:hAnsi="Arial Narrow" w:cs="Arial"/>
          <w:bCs/>
          <w:sz w:val="24"/>
          <w:szCs w:val="24"/>
        </w:rPr>
        <w:t xml:space="preserve"> falta de respuesta o de una respuesta insuficiente en el plazo de 10 meses se procederá a denegar el beneficio a las preferencias de los productos amparados por la prueba de origen en cuestión.</w:t>
      </w:r>
    </w:p>
    <w:p w:rsidR="005066F1" w:rsidRPr="00666908" w:rsidRDefault="005066F1" w:rsidP="00666908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666908" w:rsidRPr="00666908" w:rsidRDefault="00666908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Disposiciones transitorias </w:t>
      </w:r>
      <w:r>
        <w:rPr>
          <w:rFonts w:ascii="Arial Narrow" w:hAnsi="Arial Narrow" w:cs="Arial"/>
          <w:bCs/>
          <w:sz w:val="24"/>
          <w:szCs w:val="24"/>
        </w:rPr>
        <w:t>para productos en tránsito o almacenamiento.</w:t>
      </w:r>
    </w:p>
    <w:p w:rsidR="00666908" w:rsidRDefault="00666908" w:rsidP="00666908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Los productos originarios conforme el anexo II tendrán derecho a las preferencias si en la fecha de entrada en vigor del Acuerdo se encuentran en tránsito o en almacenamiento temporal, en depósitos </w:t>
      </w:r>
      <w:r w:rsidR="00616FF0">
        <w:rPr>
          <w:rFonts w:ascii="Arial Narrow" w:hAnsi="Arial Narrow" w:cs="Arial"/>
          <w:bCs/>
          <w:sz w:val="24"/>
          <w:szCs w:val="24"/>
        </w:rPr>
        <w:t xml:space="preserve">aduaneros en las Partes o en zonas francas, a condición de que se presente, dentro de los </w:t>
      </w:r>
      <w:r w:rsidR="00616FF0" w:rsidRPr="00616FF0">
        <w:rPr>
          <w:rFonts w:ascii="Arial Narrow" w:hAnsi="Arial Narrow" w:cs="Arial"/>
          <w:b/>
          <w:bCs/>
          <w:sz w:val="24"/>
          <w:szCs w:val="24"/>
        </w:rPr>
        <w:t>cuatro meses</w:t>
      </w:r>
      <w:r w:rsidR="00616FF0">
        <w:rPr>
          <w:rFonts w:ascii="Arial Narrow" w:hAnsi="Arial Narrow" w:cs="Arial"/>
          <w:bCs/>
          <w:sz w:val="24"/>
          <w:szCs w:val="24"/>
        </w:rPr>
        <w:t xml:space="preserve"> a partir de la fecha de entrada en vigor del Acuerdo una prueba de origen expedida a </w:t>
      </w:r>
      <w:r w:rsidR="005066F1">
        <w:rPr>
          <w:rFonts w:ascii="Arial Narrow" w:hAnsi="Arial Narrow" w:cs="Arial"/>
          <w:bCs/>
          <w:sz w:val="24"/>
          <w:szCs w:val="24"/>
        </w:rPr>
        <w:t>posteriori</w:t>
      </w:r>
      <w:r w:rsidR="00616FF0">
        <w:rPr>
          <w:rFonts w:ascii="Arial Narrow" w:hAnsi="Arial Narrow" w:cs="Arial"/>
          <w:bCs/>
          <w:sz w:val="24"/>
          <w:szCs w:val="24"/>
        </w:rPr>
        <w:t xml:space="preserve"> junto con la prueba de que se cumple la norma de transporte directo.</w:t>
      </w:r>
    </w:p>
    <w:p w:rsidR="005066F1" w:rsidRDefault="005066F1" w:rsidP="00666908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</w:p>
    <w:p w:rsidR="00666908" w:rsidRDefault="00616FF0" w:rsidP="00946E54">
      <w:pPr>
        <w:numPr>
          <w:ilvl w:val="0"/>
          <w:numId w:val="4"/>
        </w:num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 xml:space="preserve">Excepciones </w:t>
      </w:r>
      <w:r w:rsidRPr="00616FF0">
        <w:rPr>
          <w:rFonts w:ascii="Arial Narrow" w:hAnsi="Arial Narrow" w:cs="Arial"/>
          <w:bCs/>
          <w:sz w:val="24"/>
          <w:szCs w:val="24"/>
        </w:rPr>
        <w:t>a las</w:t>
      </w:r>
      <w:r>
        <w:rPr>
          <w:rFonts w:ascii="Arial Narrow" w:hAnsi="Arial Narrow" w:cs="Arial"/>
          <w:b/>
          <w:bCs/>
          <w:sz w:val="24"/>
          <w:szCs w:val="24"/>
        </w:rPr>
        <w:t xml:space="preserve"> normas de origen</w:t>
      </w:r>
    </w:p>
    <w:p w:rsidR="00616FF0" w:rsidRPr="00616FF0" w:rsidRDefault="00616FF0" w:rsidP="00616FF0">
      <w:pPr>
        <w:autoSpaceDE w:val="0"/>
        <w:autoSpaceDN w:val="0"/>
        <w:adjustRightInd w:val="0"/>
        <w:spacing w:after="60"/>
        <w:ind w:left="720"/>
        <w:jc w:val="both"/>
        <w:rPr>
          <w:rFonts w:ascii="Arial Narrow" w:hAnsi="Arial Narrow" w:cs="Arial"/>
          <w:bCs/>
          <w:sz w:val="24"/>
          <w:szCs w:val="24"/>
        </w:rPr>
      </w:pPr>
      <w:r>
        <w:rPr>
          <w:rFonts w:ascii="Arial Narrow" w:hAnsi="Arial Narrow" w:cs="Arial"/>
          <w:bCs/>
          <w:sz w:val="24"/>
          <w:szCs w:val="24"/>
        </w:rPr>
        <w:t xml:space="preserve">Éstas se recogen entre una de las </w:t>
      </w:r>
      <w:r>
        <w:rPr>
          <w:rFonts w:ascii="Arial Narrow" w:hAnsi="Arial Narrow" w:cs="Arial"/>
          <w:b/>
          <w:bCs/>
          <w:sz w:val="24"/>
          <w:szCs w:val="24"/>
        </w:rPr>
        <w:t>Declaraciones Conjuntas</w:t>
      </w:r>
      <w:r>
        <w:rPr>
          <w:rFonts w:ascii="Arial Narrow" w:hAnsi="Arial Narrow" w:cs="Arial"/>
          <w:bCs/>
          <w:sz w:val="24"/>
          <w:szCs w:val="24"/>
        </w:rPr>
        <w:t xml:space="preserve"> que se incluyen al final de Acuerdo</w:t>
      </w:r>
      <w:r w:rsidR="008665E4">
        <w:rPr>
          <w:rFonts w:ascii="Arial Narrow" w:hAnsi="Arial Narrow" w:cs="Arial"/>
          <w:bCs/>
          <w:sz w:val="24"/>
          <w:szCs w:val="24"/>
        </w:rPr>
        <w:t xml:space="preserve"> regulando</w:t>
      </w:r>
      <w:r>
        <w:rPr>
          <w:rFonts w:ascii="Arial Narrow" w:hAnsi="Arial Narrow" w:cs="Arial"/>
          <w:bCs/>
          <w:sz w:val="24"/>
          <w:szCs w:val="24"/>
        </w:rPr>
        <w:t xml:space="preserve"> los requisitos y el procedimiento a seguirse para llegar a conceder a los países de Centroamérica alguna excepción temporal a las normas de origen estipuladas en el Anexo II del Acuerdo.</w:t>
      </w:r>
    </w:p>
    <w:p w:rsidR="00EF49C9" w:rsidRDefault="00EF49C9" w:rsidP="00A9329B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  <w:lang w:eastAsia="es-ES"/>
        </w:rPr>
      </w:pPr>
    </w:p>
    <w:p w:rsidR="005066F1" w:rsidRDefault="005066F1" w:rsidP="00A9329B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bCs/>
          <w:sz w:val="24"/>
          <w:szCs w:val="24"/>
          <w:lang w:eastAsia="es-ES"/>
        </w:rPr>
      </w:pPr>
    </w:p>
    <w:p w:rsidR="00284BE4" w:rsidRDefault="00284BE4" w:rsidP="00C618D5">
      <w:pPr>
        <w:autoSpaceDE w:val="0"/>
        <w:autoSpaceDN w:val="0"/>
        <w:adjustRightInd w:val="0"/>
        <w:spacing w:after="60"/>
        <w:jc w:val="center"/>
        <w:outlineLvl w:val="0"/>
        <w:rPr>
          <w:rFonts w:ascii="Arial Narrow" w:hAnsi="Arial Narrow" w:cs="Arial"/>
          <w:sz w:val="24"/>
          <w:szCs w:val="24"/>
          <w:lang w:eastAsia="es-ES"/>
        </w:rPr>
      </w:pPr>
      <w:r w:rsidRPr="00DD2BA4">
        <w:rPr>
          <w:rFonts w:ascii="Arial Narrow" w:hAnsi="Arial Narrow" w:cs="Arial"/>
          <w:sz w:val="24"/>
          <w:szCs w:val="24"/>
          <w:lang w:eastAsia="es-ES"/>
        </w:rPr>
        <w:t xml:space="preserve">Madrid,  </w:t>
      </w:r>
      <w:r w:rsidR="0020758E">
        <w:rPr>
          <w:rFonts w:ascii="Arial Narrow" w:hAnsi="Arial Narrow" w:cs="Arial"/>
          <w:sz w:val="24"/>
          <w:szCs w:val="24"/>
          <w:lang w:eastAsia="es-ES"/>
        </w:rPr>
        <w:t xml:space="preserve">18 </w:t>
      </w:r>
      <w:r w:rsidRPr="00DD2BA4">
        <w:rPr>
          <w:rFonts w:ascii="Arial Narrow" w:hAnsi="Arial Narrow" w:cs="Arial"/>
          <w:sz w:val="24"/>
          <w:szCs w:val="24"/>
          <w:lang w:eastAsia="es-ES"/>
        </w:rPr>
        <w:t xml:space="preserve"> de </w:t>
      </w:r>
      <w:r w:rsidR="001A3389">
        <w:rPr>
          <w:rFonts w:ascii="Arial Narrow" w:hAnsi="Arial Narrow" w:cs="Arial"/>
          <w:sz w:val="24"/>
          <w:szCs w:val="24"/>
          <w:lang w:eastAsia="es-ES"/>
        </w:rPr>
        <w:t>febrero</w:t>
      </w:r>
      <w:r w:rsidR="00DC2BA4">
        <w:rPr>
          <w:rFonts w:ascii="Arial Narrow" w:hAnsi="Arial Narrow" w:cs="Arial"/>
          <w:sz w:val="24"/>
          <w:szCs w:val="24"/>
          <w:lang w:eastAsia="es-ES"/>
        </w:rPr>
        <w:t xml:space="preserve"> de </w:t>
      </w:r>
      <w:r w:rsidR="001A3389">
        <w:rPr>
          <w:rFonts w:ascii="Arial Narrow" w:hAnsi="Arial Narrow" w:cs="Arial"/>
          <w:sz w:val="24"/>
          <w:szCs w:val="24"/>
          <w:lang w:eastAsia="es-ES"/>
        </w:rPr>
        <w:t>2013</w:t>
      </w:r>
    </w:p>
    <w:p w:rsidR="006607D7" w:rsidRPr="00DD2BA4" w:rsidRDefault="006607D7" w:rsidP="00C618D5">
      <w:pPr>
        <w:autoSpaceDE w:val="0"/>
        <w:autoSpaceDN w:val="0"/>
        <w:adjustRightInd w:val="0"/>
        <w:spacing w:after="60"/>
        <w:jc w:val="center"/>
        <w:outlineLvl w:val="0"/>
        <w:rPr>
          <w:rFonts w:ascii="Arial Narrow" w:hAnsi="Arial Narrow" w:cs="Arial"/>
          <w:sz w:val="24"/>
          <w:szCs w:val="24"/>
          <w:lang w:eastAsia="es-ES"/>
        </w:rPr>
      </w:pPr>
    </w:p>
    <w:p w:rsidR="00EF49C9" w:rsidRPr="00DD2BA4" w:rsidRDefault="006607D7" w:rsidP="00284BE4">
      <w:pPr>
        <w:autoSpaceDE w:val="0"/>
        <w:autoSpaceDN w:val="0"/>
        <w:adjustRightInd w:val="0"/>
        <w:spacing w:after="60"/>
        <w:jc w:val="both"/>
        <w:rPr>
          <w:rFonts w:ascii="Arial Narrow" w:hAnsi="Arial Narrow" w:cs="Arial"/>
          <w:sz w:val="24"/>
          <w:szCs w:val="24"/>
          <w:lang w:eastAsia="es-ES"/>
        </w:rPr>
      </w:pPr>
      <w:r>
        <w:rPr>
          <w:rFonts w:ascii="Arial Narrow" w:hAnsi="Arial Narrow" w:cs="Arial"/>
          <w:noProof/>
          <w:sz w:val="24"/>
          <w:szCs w:val="24"/>
          <w:lang w:eastAsia="es-ES"/>
        </w:rPr>
        <w:t xml:space="preserve">                                        </w:t>
      </w:r>
      <w:r>
        <w:rPr>
          <w:rFonts w:ascii="Arial Narrow" w:hAnsi="Arial Narrow" w:cs="Arial"/>
          <w:noProof/>
          <w:sz w:val="24"/>
          <w:szCs w:val="24"/>
          <w:lang w:eastAsia="es-ES"/>
        </w:rPr>
        <w:drawing>
          <wp:inline distT="0" distB="0" distL="0" distR="0">
            <wp:extent cx="2909497" cy="1523428"/>
            <wp:effectExtent l="19050" t="0" r="5153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956" cy="152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49C9" w:rsidRPr="00DD2BA4" w:rsidSect="00686EC2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3DC" w:rsidRDefault="008923DC" w:rsidP="00A427FB">
      <w:pPr>
        <w:spacing w:after="0" w:line="240" w:lineRule="auto"/>
      </w:pPr>
      <w:r>
        <w:separator/>
      </w:r>
    </w:p>
  </w:endnote>
  <w:endnote w:type="continuationSeparator" w:id="0">
    <w:p w:rsidR="008923DC" w:rsidRDefault="008923DC" w:rsidP="00A42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A9B" w:rsidRPr="00FF51BA" w:rsidRDefault="004969CD" w:rsidP="00A9329B">
    <w:pPr>
      <w:pStyle w:val="Piedepgina"/>
      <w:spacing w:after="60"/>
      <w:rPr>
        <w:rFonts w:ascii="Arial Narrow" w:hAnsi="Arial Narrow"/>
        <w:color w:val="808080"/>
        <w:sz w:val="20"/>
        <w:szCs w:val="20"/>
      </w:rPr>
    </w:pPr>
    <w:r w:rsidRPr="004969CD">
      <w:rPr>
        <w:rFonts w:ascii="Arial Narrow" w:hAnsi="Arial Narrow"/>
        <w:i/>
        <w:color w:val="808080"/>
        <w:sz w:val="20"/>
        <w:szCs w:val="20"/>
      </w:rPr>
      <w:pict>
        <v:rect id="_x0000_i1027" style="width:0;height:1.5pt" o:hralign="center" o:hrstd="t" o:hr="t" fillcolor="#a0a0a0" stroked="f"/>
      </w:pict>
    </w:r>
  </w:p>
  <w:p w:rsidR="000B4A9B" w:rsidRPr="00FF51BA" w:rsidRDefault="000B4A9B" w:rsidP="00A9329B">
    <w:pPr>
      <w:pStyle w:val="Piedepgina"/>
      <w:spacing w:after="60"/>
      <w:jc w:val="both"/>
      <w:rPr>
        <w:rFonts w:ascii="Arial Narrow" w:hAnsi="Arial Narrow" w:cs="Arial"/>
        <w:bCs/>
        <w:i/>
        <w:color w:val="808080"/>
        <w:sz w:val="20"/>
        <w:szCs w:val="20"/>
        <w:lang w:eastAsia="es-ES"/>
      </w:rPr>
    </w:pPr>
    <w:r>
      <w:rPr>
        <w:rFonts w:ascii="Arial Narrow" w:hAnsi="Arial Narrow" w:cs="Arial"/>
        <w:bCs/>
        <w:i/>
        <w:color w:val="808080"/>
        <w:sz w:val="20"/>
        <w:szCs w:val="20"/>
        <w:lang w:eastAsia="es-ES"/>
      </w:rPr>
      <w:t>NOTA INFORMATIVA NI GA</w:t>
    </w:r>
    <w:r w:rsidRPr="00FF51BA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 xml:space="preserve"> </w:t>
    </w:r>
    <w:r w:rsidR="0020758E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>02</w:t>
    </w:r>
    <w:r w:rsidRPr="00FF51BA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>/</w:t>
    </w:r>
    <w:r>
      <w:rPr>
        <w:rFonts w:ascii="Arial Narrow" w:hAnsi="Arial Narrow" w:cs="Arial"/>
        <w:bCs/>
        <w:i/>
        <w:color w:val="808080"/>
        <w:sz w:val="20"/>
        <w:szCs w:val="20"/>
        <w:lang w:eastAsia="es-ES"/>
      </w:rPr>
      <w:t>2013</w:t>
    </w:r>
    <w:r w:rsidRPr="00FF51BA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 xml:space="preserve">, de </w:t>
    </w:r>
    <w:r w:rsidR="0020758E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>18</w:t>
    </w:r>
    <w:r w:rsidRPr="00FF51BA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 xml:space="preserve"> de </w:t>
    </w:r>
    <w:r w:rsidR="0020758E">
      <w:rPr>
        <w:rFonts w:ascii="Arial Narrow" w:hAnsi="Arial Narrow" w:cs="Arial"/>
        <w:bCs/>
        <w:i/>
        <w:color w:val="808080"/>
        <w:sz w:val="20"/>
        <w:szCs w:val="20"/>
        <w:lang w:eastAsia="es-ES"/>
      </w:rPr>
      <w:t xml:space="preserve">febrero relativa al Acuerdo UE/CENTROÁMERICA  </w:t>
    </w:r>
  </w:p>
  <w:p w:rsidR="000B4A9B" w:rsidRPr="00A9329B" w:rsidRDefault="004969CD" w:rsidP="00A9329B">
    <w:pPr>
      <w:pStyle w:val="Piedepgina"/>
      <w:spacing w:after="60"/>
      <w:jc w:val="right"/>
    </w:pPr>
    <w:r w:rsidRPr="00A9329B">
      <w:rPr>
        <w:rFonts w:ascii="Arial Narrow" w:hAnsi="Arial Narrow" w:cs="Arial"/>
        <w:bCs/>
        <w:color w:val="808080"/>
        <w:sz w:val="20"/>
        <w:szCs w:val="20"/>
        <w:lang w:eastAsia="es-ES"/>
      </w:rPr>
      <w:fldChar w:fldCharType="begin"/>
    </w:r>
    <w:r w:rsidR="000B4A9B" w:rsidRPr="00A9329B">
      <w:rPr>
        <w:rFonts w:ascii="Arial Narrow" w:hAnsi="Arial Narrow" w:cs="Arial"/>
        <w:bCs/>
        <w:color w:val="808080"/>
        <w:sz w:val="20"/>
        <w:szCs w:val="20"/>
        <w:lang w:eastAsia="es-ES"/>
      </w:rPr>
      <w:instrText xml:space="preserve"> PAGE   \* MERGEFORMAT </w:instrText>
    </w:r>
    <w:r w:rsidRPr="00A9329B">
      <w:rPr>
        <w:rFonts w:ascii="Arial Narrow" w:hAnsi="Arial Narrow" w:cs="Arial"/>
        <w:bCs/>
        <w:color w:val="808080"/>
        <w:sz w:val="20"/>
        <w:szCs w:val="20"/>
        <w:lang w:eastAsia="es-ES"/>
      </w:rPr>
      <w:fldChar w:fldCharType="separate"/>
    </w:r>
    <w:r w:rsidR="00D77B65">
      <w:rPr>
        <w:rFonts w:ascii="Arial Narrow" w:hAnsi="Arial Narrow" w:cs="Arial"/>
        <w:bCs/>
        <w:noProof/>
        <w:color w:val="808080"/>
        <w:sz w:val="20"/>
        <w:szCs w:val="20"/>
        <w:lang w:eastAsia="es-ES"/>
      </w:rPr>
      <w:t>4</w:t>
    </w:r>
    <w:r w:rsidRPr="00A9329B">
      <w:rPr>
        <w:rFonts w:ascii="Arial Narrow" w:hAnsi="Arial Narrow" w:cs="Arial"/>
        <w:bCs/>
        <w:color w:val="808080"/>
        <w:sz w:val="20"/>
        <w:szCs w:val="20"/>
        <w:lang w:eastAsia="es-ES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3DC" w:rsidRDefault="008923DC" w:rsidP="00A427FB">
      <w:pPr>
        <w:spacing w:after="0" w:line="240" w:lineRule="auto"/>
      </w:pPr>
      <w:r>
        <w:separator/>
      </w:r>
    </w:p>
  </w:footnote>
  <w:footnote w:type="continuationSeparator" w:id="0">
    <w:p w:rsidR="008923DC" w:rsidRDefault="008923DC" w:rsidP="00A42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A9B" w:rsidRPr="000536BF" w:rsidRDefault="004969CD" w:rsidP="00A9329B">
    <w:pPr>
      <w:pStyle w:val="Encabezado"/>
      <w:tabs>
        <w:tab w:val="left" w:pos="6480"/>
      </w:tabs>
      <w:rPr>
        <w:sz w:val="16"/>
        <w:szCs w:val="16"/>
      </w:rPr>
    </w:pPr>
    <w:r>
      <w:rPr>
        <w:noProof/>
        <w:sz w:val="16"/>
        <w:szCs w:val="16"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7.6pt;margin-top:-4.65pt;width:39.6pt;height:30.95pt;z-index:251657728;visibility:visible;mso-wrap-edited:f">
          <v:imagedata r:id="rId1" o:title=""/>
          <w10:wrap type="topAndBottom"/>
        </v:shape>
        <o:OLEObject Type="Embed" ProgID="Word.Picture.8" ShapeID="_x0000_s2049" DrawAspect="Content" ObjectID="_1422946289" r:id="rId2"/>
      </w:pict>
    </w:r>
  </w:p>
  <w:p w:rsidR="000B4A9B" w:rsidRPr="00EB60BA" w:rsidRDefault="000B4A9B" w:rsidP="00A9329B">
    <w:pPr>
      <w:pStyle w:val="Encabezado"/>
      <w:spacing w:line="360" w:lineRule="auto"/>
      <w:rPr>
        <w:color w:val="808080"/>
        <w:sz w:val="16"/>
        <w:szCs w:val="16"/>
      </w:rPr>
    </w:pPr>
  </w:p>
  <w:p w:rsidR="000B4A9B" w:rsidRPr="00592C31" w:rsidRDefault="000B4A9B" w:rsidP="00A9329B">
    <w:pPr>
      <w:pStyle w:val="Encabezado"/>
      <w:tabs>
        <w:tab w:val="clear" w:pos="4252"/>
        <w:tab w:val="clear" w:pos="8504"/>
      </w:tabs>
      <w:ind w:right="5679"/>
      <w:jc w:val="center"/>
      <w:rPr>
        <w:rFonts w:ascii="Arial Narrow" w:hAnsi="Arial Narrow"/>
        <w:color w:val="808080"/>
        <w:position w:val="-6"/>
        <w:sz w:val="24"/>
        <w:szCs w:val="24"/>
      </w:rPr>
    </w:pPr>
    <w:r w:rsidRPr="00592C31">
      <w:rPr>
        <w:rFonts w:ascii="Arial Narrow" w:hAnsi="Arial Narrow"/>
        <w:color w:val="808080"/>
        <w:position w:val="-6"/>
        <w:sz w:val="24"/>
        <w:szCs w:val="24"/>
      </w:rPr>
      <w:t>Agencia Tributaria</w:t>
    </w:r>
  </w:p>
  <w:p w:rsidR="000B4A9B" w:rsidRPr="00EB60BA" w:rsidRDefault="000B4A9B" w:rsidP="00A9329B">
    <w:pPr>
      <w:pStyle w:val="Encabezado"/>
      <w:jc w:val="right"/>
      <w:rPr>
        <w:rFonts w:ascii="Arial Narrow" w:hAnsi="Arial Narrow"/>
        <w:i/>
        <w:color w:val="808080"/>
        <w:sz w:val="24"/>
        <w:szCs w:val="24"/>
      </w:rPr>
    </w:pPr>
    <w:r w:rsidRPr="00EB60BA">
      <w:rPr>
        <w:rFonts w:ascii="Arial Narrow" w:hAnsi="Arial Narrow"/>
        <w:i/>
        <w:color w:val="808080"/>
        <w:sz w:val="24"/>
        <w:szCs w:val="24"/>
      </w:rPr>
      <w:t>Departamento de Aduanas e Impuestos Especiales</w:t>
    </w:r>
  </w:p>
  <w:p w:rsidR="000B4A9B" w:rsidRPr="00EB60BA" w:rsidRDefault="004969CD" w:rsidP="00A9329B">
    <w:pPr>
      <w:pStyle w:val="Encabezado"/>
      <w:jc w:val="right"/>
      <w:rPr>
        <w:rFonts w:ascii="Arial Narrow" w:hAnsi="Arial Narrow"/>
        <w:i/>
        <w:color w:val="808080"/>
        <w:sz w:val="24"/>
        <w:szCs w:val="24"/>
      </w:rPr>
    </w:pPr>
    <w:r w:rsidRPr="004969CD">
      <w:rPr>
        <w:rFonts w:ascii="Arial Narrow" w:hAnsi="Arial Narrow"/>
        <w:i/>
        <w:color w:val="808080"/>
        <w:sz w:val="24"/>
        <w:szCs w:val="24"/>
      </w:rPr>
      <w:pict>
        <v:rect id="_x0000_i1026" style="width:0;height:1.5pt" o:hralign="center" o:hrstd="t" o:hr="t" fillcolor="#a0a0a0" stroked="f"/>
      </w:pict>
    </w:r>
  </w:p>
  <w:p w:rsidR="000B4A9B" w:rsidRPr="00EB60BA" w:rsidRDefault="000B4A9B" w:rsidP="00A9329B">
    <w:pPr>
      <w:pStyle w:val="Encabezado"/>
      <w:jc w:val="right"/>
      <w:rPr>
        <w:rFonts w:ascii="Arial Narrow" w:hAnsi="Arial Narrow"/>
        <w:i/>
        <w:color w:val="808080"/>
        <w:sz w:val="24"/>
        <w:szCs w:val="24"/>
      </w:rPr>
    </w:pPr>
  </w:p>
  <w:p w:rsidR="000B4A9B" w:rsidRDefault="000B4A9B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95ACE"/>
    <w:multiLevelType w:val="hybridMultilevel"/>
    <w:tmpl w:val="B022767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5E0405"/>
    <w:multiLevelType w:val="hybridMultilevel"/>
    <w:tmpl w:val="CDD4BF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F4535"/>
    <w:multiLevelType w:val="hybridMultilevel"/>
    <w:tmpl w:val="9B3A714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49B1524"/>
    <w:multiLevelType w:val="hybridMultilevel"/>
    <w:tmpl w:val="7E086D5A"/>
    <w:lvl w:ilvl="0" w:tplc="0C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5EC0EBF"/>
    <w:multiLevelType w:val="hybridMultilevel"/>
    <w:tmpl w:val="9B8E3E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F22D23"/>
    <w:multiLevelType w:val="hybridMultilevel"/>
    <w:tmpl w:val="5302FFA0"/>
    <w:lvl w:ilvl="0" w:tplc="529244CA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20" w:hanging="360"/>
      </w:pPr>
    </w:lvl>
    <w:lvl w:ilvl="2" w:tplc="0C0A001B" w:tentative="1">
      <w:start w:val="1"/>
      <w:numFmt w:val="lowerRoman"/>
      <w:lvlText w:val="%3."/>
      <w:lvlJc w:val="right"/>
      <w:pPr>
        <w:ind w:left="2040" w:hanging="180"/>
      </w:pPr>
    </w:lvl>
    <w:lvl w:ilvl="3" w:tplc="0C0A000F" w:tentative="1">
      <w:start w:val="1"/>
      <w:numFmt w:val="decimal"/>
      <w:lvlText w:val="%4."/>
      <w:lvlJc w:val="left"/>
      <w:pPr>
        <w:ind w:left="2760" w:hanging="360"/>
      </w:pPr>
    </w:lvl>
    <w:lvl w:ilvl="4" w:tplc="0C0A0019" w:tentative="1">
      <w:start w:val="1"/>
      <w:numFmt w:val="lowerLetter"/>
      <w:lvlText w:val="%5."/>
      <w:lvlJc w:val="left"/>
      <w:pPr>
        <w:ind w:left="3480" w:hanging="360"/>
      </w:pPr>
    </w:lvl>
    <w:lvl w:ilvl="5" w:tplc="0C0A001B" w:tentative="1">
      <w:start w:val="1"/>
      <w:numFmt w:val="lowerRoman"/>
      <w:lvlText w:val="%6."/>
      <w:lvlJc w:val="right"/>
      <w:pPr>
        <w:ind w:left="4200" w:hanging="180"/>
      </w:pPr>
    </w:lvl>
    <w:lvl w:ilvl="6" w:tplc="0C0A000F" w:tentative="1">
      <w:start w:val="1"/>
      <w:numFmt w:val="decimal"/>
      <w:lvlText w:val="%7."/>
      <w:lvlJc w:val="left"/>
      <w:pPr>
        <w:ind w:left="4920" w:hanging="360"/>
      </w:pPr>
    </w:lvl>
    <w:lvl w:ilvl="7" w:tplc="0C0A0019" w:tentative="1">
      <w:start w:val="1"/>
      <w:numFmt w:val="lowerLetter"/>
      <w:lvlText w:val="%8."/>
      <w:lvlJc w:val="left"/>
      <w:pPr>
        <w:ind w:left="5640" w:hanging="360"/>
      </w:pPr>
    </w:lvl>
    <w:lvl w:ilvl="8" w:tplc="0C0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69313E4E"/>
    <w:multiLevelType w:val="hybridMultilevel"/>
    <w:tmpl w:val="031808CE"/>
    <w:lvl w:ilvl="0" w:tplc="11F2B38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0D490D"/>
    <w:multiLevelType w:val="hybridMultilevel"/>
    <w:tmpl w:val="7FA2E932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7ABA1659"/>
    <w:multiLevelType w:val="hybridMultilevel"/>
    <w:tmpl w:val="10525E50"/>
    <w:lvl w:ilvl="0" w:tplc="0C0A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4275D"/>
    <w:rsid w:val="00063275"/>
    <w:rsid w:val="00067383"/>
    <w:rsid w:val="000B4A9B"/>
    <w:rsid w:val="00101D07"/>
    <w:rsid w:val="001A3389"/>
    <w:rsid w:val="001C61B5"/>
    <w:rsid w:val="001F22D9"/>
    <w:rsid w:val="00205F00"/>
    <w:rsid w:val="0020758E"/>
    <w:rsid w:val="00236169"/>
    <w:rsid w:val="00252816"/>
    <w:rsid w:val="00284BE4"/>
    <w:rsid w:val="002B0FD9"/>
    <w:rsid w:val="002F0A12"/>
    <w:rsid w:val="00317C33"/>
    <w:rsid w:val="00346C58"/>
    <w:rsid w:val="00347A42"/>
    <w:rsid w:val="00366E2D"/>
    <w:rsid w:val="00384BFA"/>
    <w:rsid w:val="00387756"/>
    <w:rsid w:val="003B4F02"/>
    <w:rsid w:val="00407E6F"/>
    <w:rsid w:val="004304EB"/>
    <w:rsid w:val="004627C8"/>
    <w:rsid w:val="00484890"/>
    <w:rsid w:val="004969CD"/>
    <w:rsid w:val="004C56C3"/>
    <w:rsid w:val="004F4134"/>
    <w:rsid w:val="005046AB"/>
    <w:rsid w:val="005066F1"/>
    <w:rsid w:val="005476E6"/>
    <w:rsid w:val="00554454"/>
    <w:rsid w:val="00560F52"/>
    <w:rsid w:val="00591B48"/>
    <w:rsid w:val="00616FF0"/>
    <w:rsid w:val="00633699"/>
    <w:rsid w:val="006607D7"/>
    <w:rsid w:val="00666908"/>
    <w:rsid w:val="006851A6"/>
    <w:rsid w:val="00686797"/>
    <w:rsid w:val="00686EC2"/>
    <w:rsid w:val="00694AA5"/>
    <w:rsid w:val="006F4375"/>
    <w:rsid w:val="006F7750"/>
    <w:rsid w:val="00731BC7"/>
    <w:rsid w:val="0073317B"/>
    <w:rsid w:val="00742886"/>
    <w:rsid w:val="0078527B"/>
    <w:rsid w:val="007B2F3E"/>
    <w:rsid w:val="008665E4"/>
    <w:rsid w:val="008923DC"/>
    <w:rsid w:val="009310BD"/>
    <w:rsid w:val="00946E54"/>
    <w:rsid w:val="009A44EA"/>
    <w:rsid w:val="009D2101"/>
    <w:rsid w:val="00A053D8"/>
    <w:rsid w:val="00A159E5"/>
    <w:rsid w:val="00A42310"/>
    <w:rsid w:val="00A427FB"/>
    <w:rsid w:val="00A7242F"/>
    <w:rsid w:val="00A8779E"/>
    <w:rsid w:val="00A9329B"/>
    <w:rsid w:val="00A955C4"/>
    <w:rsid w:val="00B211C0"/>
    <w:rsid w:val="00B40DCA"/>
    <w:rsid w:val="00B76B46"/>
    <w:rsid w:val="00BB1073"/>
    <w:rsid w:val="00BB49D8"/>
    <w:rsid w:val="00BB5BB1"/>
    <w:rsid w:val="00BF6B86"/>
    <w:rsid w:val="00C03A9E"/>
    <w:rsid w:val="00C108A6"/>
    <w:rsid w:val="00C4275D"/>
    <w:rsid w:val="00C54185"/>
    <w:rsid w:val="00C618D5"/>
    <w:rsid w:val="00C81C5F"/>
    <w:rsid w:val="00C93EBF"/>
    <w:rsid w:val="00CB4FEF"/>
    <w:rsid w:val="00CE2F4A"/>
    <w:rsid w:val="00D77B65"/>
    <w:rsid w:val="00D82C2B"/>
    <w:rsid w:val="00DB1DA5"/>
    <w:rsid w:val="00DC2BA4"/>
    <w:rsid w:val="00DF72AA"/>
    <w:rsid w:val="00E014AE"/>
    <w:rsid w:val="00E02D1C"/>
    <w:rsid w:val="00E24D84"/>
    <w:rsid w:val="00E42E1C"/>
    <w:rsid w:val="00E44EF4"/>
    <w:rsid w:val="00E557FC"/>
    <w:rsid w:val="00E615CD"/>
    <w:rsid w:val="00EB23F0"/>
    <w:rsid w:val="00EF42D5"/>
    <w:rsid w:val="00EF49C9"/>
    <w:rsid w:val="00F354D7"/>
    <w:rsid w:val="00FF5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7FB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ar"/>
    <w:uiPriority w:val="99"/>
    <w:qFormat/>
    <w:rsid w:val="00A427FB"/>
    <w:pPr>
      <w:autoSpaceDE w:val="0"/>
      <w:autoSpaceDN w:val="0"/>
      <w:adjustRightInd w:val="0"/>
      <w:spacing w:after="0" w:line="240" w:lineRule="auto"/>
      <w:outlineLvl w:val="1"/>
    </w:pPr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rsid w:val="00A427FB"/>
    <w:rPr>
      <w:rFonts w:ascii="Arial" w:eastAsia="Calibri" w:hAnsi="Arial" w:cs="Arial"/>
      <w:sz w:val="24"/>
      <w:szCs w:val="24"/>
    </w:rPr>
  </w:style>
  <w:style w:type="paragraph" w:styleId="Prrafodelista">
    <w:name w:val="List Paragraph"/>
    <w:basedOn w:val="Normal"/>
    <w:uiPriority w:val="34"/>
    <w:qFormat/>
    <w:rsid w:val="00A427FB"/>
    <w:pPr>
      <w:ind w:left="720"/>
      <w:contextualSpacing/>
    </w:pPr>
  </w:style>
  <w:style w:type="paragraph" w:customStyle="1" w:styleId="Default">
    <w:name w:val="Default"/>
    <w:rsid w:val="00A427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427FB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427FB"/>
    <w:rPr>
      <w:rFonts w:ascii="Calibri" w:eastAsia="Calibri" w:hAnsi="Calibri" w:cs="Times New Roman"/>
      <w:b/>
      <w:bCs/>
      <w:i/>
      <w:iCs/>
      <w:color w:val="4F81BD"/>
    </w:rPr>
  </w:style>
  <w:style w:type="paragraph" w:styleId="Piedepgina">
    <w:name w:val="footer"/>
    <w:basedOn w:val="Normal"/>
    <w:link w:val="PiedepginaCar"/>
    <w:uiPriority w:val="99"/>
    <w:unhideWhenUsed/>
    <w:rsid w:val="00A427F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27FB"/>
    <w:rPr>
      <w:rFonts w:ascii="Calibri" w:eastAsia="Calibri" w:hAnsi="Calibri" w:cs="Times New Roman"/>
    </w:rPr>
  </w:style>
  <w:style w:type="paragraph" w:styleId="Textonotapie">
    <w:name w:val="footnote text"/>
    <w:basedOn w:val="Normal"/>
    <w:link w:val="TextonotapieCar"/>
    <w:semiHidden/>
    <w:rsid w:val="00A427FB"/>
    <w:pPr>
      <w:spacing w:after="240" w:line="240" w:lineRule="auto"/>
      <w:ind w:left="357" w:hanging="357"/>
      <w:jc w:val="both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TextonotapieCar">
    <w:name w:val="Texto nota pie Car"/>
    <w:basedOn w:val="Fuentedeprrafopredeter"/>
    <w:link w:val="Textonotapie"/>
    <w:semiHidden/>
    <w:rsid w:val="00A427FB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Refdenotaalpie">
    <w:name w:val="footnote reference"/>
    <w:basedOn w:val="Fuentedeprrafopredeter"/>
    <w:semiHidden/>
    <w:rsid w:val="00A427FB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A932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29B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C2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2BA4"/>
    <w:rPr>
      <w:rFonts w:ascii="Tahoma" w:eastAsia="Calibri" w:hAnsi="Tahoma" w:cs="Tahoma"/>
      <w:sz w:val="16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618D5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618D5"/>
    <w:rPr>
      <w:rFonts w:ascii="Tahoma" w:hAnsi="Tahoma" w:cs="Tahoma"/>
      <w:sz w:val="16"/>
      <w:szCs w:val="16"/>
      <w:lang w:eastAsia="en-US"/>
    </w:rPr>
  </w:style>
  <w:style w:type="character" w:styleId="Hipervnculo">
    <w:name w:val="Hyperlink"/>
    <w:basedOn w:val="Fuentedeprrafopredeter"/>
    <w:uiPriority w:val="99"/>
    <w:unhideWhenUsed/>
    <w:rsid w:val="00C618D5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CB4F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-lex.europa.eu/JOIndex.do?year=2012&amp;serie=L&amp;textfield2=346&amp;Submit=Buscar&amp;_submit=Buscar&amp;ihmlang=e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://eur-lex.europa.eu/LexUriServ/LexUriServ.do?uri=OJ:L:2012:346:0003:2621:ES: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505dp\AppData\Local\Temp\notesA4C761\NOTA%20INFORMATIVA%20NI%20GA%20XXX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3068A-362B-43B2-80F1-ED810D5B5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 INFORMATIVA NI GA XXX</Template>
  <TotalTime>1</TotalTime>
  <Pages>4</Pages>
  <Words>1085</Words>
  <Characters>5973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Estatal de Administración Tributaria</Company>
  <LinksUpToDate>false</LinksUpToDate>
  <CharactersWithSpaces>7044</CharactersWithSpaces>
  <SharedDoc>false</SharedDoc>
  <HLinks>
    <vt:vector size="12" baseType="variant">
      <vt:variant>
        <vt:i4>5177365</vt:i4>
      </vt:variant>
      <vt:variant>
        <vt:i4>3</vt:i4>
      </vt:variant>
      <vt:variant>
        <vt:i4>0</vt:i4>
      </vt:variant>
      <vt:variant>
        <vt:i4>5</vt:i4>
      </vt:variant>
      <vt:variant>
        <vt:lpwstr>http://eur-lex.europa.eu/LexUriServ/LexUriServ.do?uri=OJ:L:2012:346:0003:2621:ES:PDF</vt:lpwstr>
      </vt:variant>
      <vt:variant>
        <vt:lpwstr/>
      </vt:variant>
      <vt:variant>
        <vt:i4>3538969</vt:i4>
      </vt:variant>
      <vt:variant>
        <vt:i4>0</vt:i4>
      </vt:variant>
      <vt:variant>
        <vt:i4>0</vt:i4>
      </vt:variant>
      <vt:variant>
        <vt:i4>5</vt:i4>
      </vt:variant>
      <vt:variant>
        <vt:lpwstr>http://eur-lex.europa.eu/JOIndex.do?year=2012&amp;serie=L&amp;textfield2=346&amp;Submit=Buscar&amp;_submit=Buscar&amp;ihmlang=es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a00505dp</dc:creator>
  <cp:lastModifiedBy>a005013s</cp:lastModifiedBy>
  <cp:revision>2</cp:revision>
  <cp:lastPrinted>2012-10-08T08:16:00Z</cp:lastPrinted>
  <dcterms:created xsi:type="dcterms:W3CDTF">2013-02-21T09:05:00Z</dcterms:created>
  <dcterms:modified xsi:type="dcterms:W3CDTF">2013-02-21T09:05:00Z</dcterms:modified>
</cp:coreProperties>
</file>